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7F1" w:rsidRPr="00351B3B" w:rsidRDefault="003927F1" w:rsidP="003927F1">
      <w:pPr>
        <w:spacing w:before="120" w:after="120" w:line="0" w:lineRule="atLeast"/>
        <w:ind w:left="640" w:hangingChars="200" w:hanging="640"/>
        <w:jc w:val="center"/>
        <w:rPr>
          <w:rFonts w:eastAsia="標楷體"/>
          <w:sz w:val="32"/>
        </w:rPr>
      </w:pPr>
      <w:r w:rsidRPr="00351B3B">
        <w:rPr>
          <w:rFonts w:eastAsia="標楷體" w:hint="eastAsia"/>
          <w:sz w:val="32"/>
        </w:rPr>
        <w:t>國立成功大學材料科學及工程學系教師升等辨法</w:t>
      </w:r>
    </w:p>
    <w:p w:rsidR="003927F1" w:rsidRPr="00A9221B" w:rsidRDefault="003927F1" w:rsidP="003927F1">
      <w:pPr>
        <w:spacing w:line="280" w:lineRule="exact"/>
        <w:ind w:firstLineChars="2913" w:firstLine="5243"/>
        <w:jc w:val="both"/>
        <w:rPr>
          <w:rFonts w:eastAsia="標楷體"/>
          <w:sz w:val="18"/>
        </w:rPr>
      </w:pPr>
      <w:smartTag w:uri="urn:schemas-microsoft-com:office:smarttags" w:element="chsdate">
        <w:smartTagPr>
          <w:attr w:name="Year" w:val="1987"/>
          <w:attr w:name="Month" w:val="5"/>
          <w:attr w:name="Day" w:val="4"/>
          <w:attr w:name="IsLunarDate" w:val="False"/>
          <w:attr w:name="IsROCDate" w:val="False"/>
        </w:smartTagPr>
        <w:r w:rsidRPr="00A9221B">
          <w:rPr>
            <w:rFonts w:eastAsia="標楷體" w:hint="eastAsia"/>
            <w:sz w:val="18"/>
          </w:rPr>
          <w:t>87</w:t>
        </w:r>
        <w:r w:rsidRPr="00A9221B">
          <w:rPr>
            <w:rFonts w:eastAsia="標楷體" w:hint="eastAsia"/>
            <w:sz w:val="18"/>
          </w:rPr>
          <w:t>年</w:t>
        </w:r>
        <w:r w:rsidRPr="00A9221B">
          <w:rPr>
            <w:rFonts w:eastAsia="標楷體" w:hint="eastAsia"/>
            <w:sz w:val="18"/>
          </w:rPr>
          <w:t>5</w:t>
        </w:r>
        <w:r w:rsidRPr="00A9221B">
          <w:rPr>
            <w:rFonts w:eastAsia="標楷體" w:hint="eastAsia"/>
            <w:sz w:val="18"/>
          </w:rPr>
          <w:t>月</w:t>
        </w:r>
        <w:r w:rsidRPr="00A9221B">
          <w:rPr>
            <w:rFonts w:eastAsia="標楷體" w:hint="eastAsia"/>
            <w:sz w:val="18"/>
          </w:rPr>
          <w:t>4</w:t>
        </w:r>
        <w:r w:rsidRPr="00A9221B">
          <w:rPr>
            <w:rFonts w:eastAsia="標楷體" w:hint="eastAsia"/>
            <w:sz w:val="18"/>
          </w:rPr>
          <w:t>日</w:t>
        </w:r>
      </w:smartTag>
      <w:r w:rsidRPr="00A9221B">
        <w:rPr>
          <w:rFonts w:eastAsia="標楷體" w:hint="eastAsia"/>
          <w:sz w:val="18"/>
        </w:rPr>
        <w:t>86</w:t>
      </w:r>
      <w:r w:rsidRPr="00A9221B">
        <w:rPr>
          <w:rFonts w:eastAsia="標楷體" w:hint="eastAsia"/>
          <w:sz w:val="18"/>
        </w:rPr>
        <w:t>學年度笫二學期第三次糸務會議通過</w:t>
      </w:r>
    </w:p>
    <w:p w:rsidR="003927F1" w:rsidRPr="00A9221B" w:rsidRDefault="003927F1" w:rsidP="003927F1">
      <w:pPr>
        <w:spacing w:line="280" w:lineRule="exact"/>
        <w:ind w:firstLineChars="2913" w:firstLine="5243"/>
        <w:jc w:val="both"/>
        <w:rPr>
          <w:rFonts w:eastAsia="標楷體"/>
          <w:sz w:val="18"/>
        </w:rPr>
      </w:pPr>
      <w:smartTag w:uri="urn:schemas-microsoft-com:office:smarttags" w:element="chsdate">
        <w:smartTagPr>
          <w:attr w:name="Year" w:val="1988"/>
          <w:attr w:name="Month" w:val="12"/>
          <w:attr w:name="Day" w:val="27"/>
          <w:attr w:name="IsLunarDate" w:val="False"/>
          <w:attr w:name="IsROCDate" w:val="False"/>
        </w:smartTagPr>
        <w:r w:rsidRPr="00A9221B">
          <w:rPr>
            <w:rFonts w:eastAsia="標楷體" w:hint="eastAsia"/>
            <w:sz w:val="18"/>
          </w:rPr>
          <w:t>8</w:t>
        </w:r>
        <w:r>
          <w:rPr>
            <w:rFonts w:eastAsia="標楷體"/>
            <w:sz w:val="18"/>
          </w:rPr>
          <w:t>8</w:t>
        </w:r>
        <w:r w:rsidRPr="00A9221B">
          <w:rPr>
            <w:rFonts w:eastAsia="標楷體" w:hint="eastAsia"/>
            <w:sz w:val="18"/>
          </w:rPr>
          <w:t>年</w:t>
        </w:r>
        <w:r w:rsidRPr="00A9221B">
          <w:rPr>
            <w:rFonts w:eastAsia="標楷體" w:hint="eastAsia"/>
            <w:sz w:val="18"/>
          </w:rPr>
          <w:t>1</w:t>
        </w:r>
        <w:r>
          <w:rPr>
            <w:rFonts w:eastAsia="標楷體"/>
            <w:sz w:val="18"/>
          </w:rPr>
          <w:t>2</w:t>
        </w:r>
        <w:r w:rsidRPr="00A9221B">
          <w:rPr>
            <w:rFonts w:eastAsia="標楷體" w:hint="eastAsia"/>
            <w:sz w:val="18"/>
          </w:rPr>
          <w:t>月</w:t>
        </w:r>
        <w:r>
          <w:rPr>
            <w:rFonts w:eastAsia="標楷體"/>
            <w:sz w:val="18"/>
          </w:rPr>
          <w:t>2</w:t>
        </w:r>
        <w:r w:rsidRPr="00A9221B">
          <w:rPr>
            <w:rFonts w:eastAsia="標楷體" w:hint="eastAsia"/>
            <w:sz w:val="18"/>
          </w:rPr>
          <w:t>7</w:t>
        </w:r>
        <w:r w:rsidRPr="00A9221B">
          <w:rPr>
            <w:rFonts w:eastAsia="標楷體" w:hint="eastAsia"/>
            <w:sz w:val="18"/>
          </w:rPr>
          <w:t>日</w:t>
        </w:r>
      </w:smartTag>
      <w:r w:rsidRPr="00A9221B">
        <w:rPr>
          <w:rFonts w:eastAsia="標楷體" w:hint="eastAsia"/>
          <w:sz w:val="18"/>
        </w:rPr>
        <w:t>88</w:t>
      </w:r>
      <w:r w:rsidRPr="00A9221B">
        <w:rPr>
          <w:rFonts w:eastAsia="標楷體" w:hint="eastAsia"/>
          <w:sz w:val="18"/>
        </w:rPr>
        <w:t>學年度笫一學期第五次糸務會議修正通過</w:t>
      </w:r>
    </w:p>
    <w:p w:rsidR="003927F1" w:rsidRDefault="003927F1" w:rsidP="003927F1">
      <w:pPr>
        <w:spacing w:line="280" w:lineRule="exact"/>
        <w:ind w:firstLineChars="2913" w:firstLine="5243"/>
        <w:jc w:val="both"/>
        <w:rPr>
          <w:rFonts w:eastAsia="標楷體"/>
          <w:sz w:val="18"/>
        </w:rPr>
      </w:pPr>
      <w:smartTag w:uri="urn:schemas-microsoft-com:office:smarttags" w:element="chsdate">
        <w:smartTagPr>
          <w:attr w:name="Year" w:val="1992"/>
          <w:attr w:name="Month" w:val="5"/>
          <w:attr w:name="Day" w:val="12"/>
          <w:attr w:name="IsLunarDate" w:val="False"/>
          <w:attr w:name="IsROCDate" w:val="False"/>
        </w:smartTagPr>
        <w:r w:rsidRPr="00A9221B">
          <w:rPr>
            <w:rFonts w:eastAsia="標楷體" w:hint="eastAsia"/>
            <w:sz w:val="18"/>
          </w:rPr>
          <w:t>92</w:t>
        </w:r>
        <w:r w:rsidRPr="00A9221B">
          <w:rPr>
            <w:rFonts w:eastAsia="標楷體" w:hint="eastAsia"/>
            <w:sz w:val="18"/>
          </w:rPr>
          <w:t>年</w:t>
        </w:r>
        <w:r w:rsidRPr="00A9221B">
          <w:rPr>
            <w:rFonts w:eastAsia="標楷體" w:hint="eastAsia"/>
            <w:sz w:val="18"/>
          </w:rPr>
          <w:t>5</w:t>
        </w:r>
        <w:r w:rsidRPr="00A9221B">
          <w:rPr>
            <w:rFonts w:eastAsia="標楷體" w:hint="eastAsia"/>
            <w:sz w:val="18"/>
          </w:rPr>
          <w:t>月</w:t>
        </w:r>
        <w:r w:rsidRPr="00A9221B">
          <w:rPr>
            <w:rFonts w:eastAsia="標楷體" w:hint="eastAsia"/>
            <w:sz w:val="18"/>
          </w:rPr>
          <w:t>12</w:t>
        </w:r>
        <w:r w:rsidRPr="00A9221B">
          <w:rPr>
            <w:rFonts w:eastAsia="標楷體" w:hint="eastAsia"/>
            <w:sz w:val="18"/>
          </w:rPr>
          <w:t>日</w:t>
        </w:r>
      </w:smartTag>
      <w:r w:rsidRPr="00A9221B">
        <w:rPr>
          <w:rFonts w:eastAsia="標楷體" w:hint="eastAsia"/>
          <w:sz w:val="18"/>
        </w:rPr>
        <w:t>91</w:t>
      </w:r>
      <w:r w:rsidRPr="00A9221B">
        <w:rPr>
          <w:rFonts w:eastAsia="標楷體" w:hint="eastAsia"/>
          <w:sz w:val="18"/>
        </w:rPr>
        <w:t>學年度第二學期第四次系務會議修正通過</w:t>
      </w:r>
    </w:p>
    <w:p w:rsidR="003927F1" w:rsidRDefault="003927F1" w:rsidP="003927F1">
      <w:pPr>
        <w:spacing w:line="280" w:lineRule="exact"/>
        <w:ind w:firstLineChars="2913" w:firstLine="5243"/>
        <w:jc w:val="both"/>
        <w:rPr>
          <w:rFonts w:eastAsia="標楷體"/>
          <w:sz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1992"/>
        </w:smartTagPr>
        <w:r>
          <w:rPr>
            <w:rFonts w:eastAsia="標楷體" w:hint="eastAsia"/>
            <w:sz w:val="18"/>
          </w:rPr>
          <w:t>92</w:t>
        </w:r>
        <w:r>
          <w:rPr>
            <w:rFonts w:eastAsia="標楷體" w:hint="eastAsia"/>
            <w:sz w:val="18"/>
          </w:rPr>
          <w:t>年</w:t>
        </w:r>
        <w:r>
          <w:rPr>
            <w:rFonts w:eastAsia="標楷體" w:hint="eastAsia"/>
            <w:sz w:val="18"/>
          </w:rPr>
          <w:t>12</w:t>
        </w:r>
        <w:r>
          <w:rPr>
            <w:rFonts w:eastAsia="標楷體" w:hint="eastAsia"/>
            <w:sz w:val="18"/>
          </w:rPr>
          <w:t>月</w:t>
        </w:r>
        <w:r>
          <w:rPr>
            <w:rFonts w:eastAsia="標楷體" w:hint="eastAsia"/>
            <w:sz w:val="18"/>
          </w:rPr>
          <w:t>8</w:t>
        </w:r>
        <w:r>
          <w:rPr>
            <w:rFonts w:eastAsia="標楷體" w:hint="eastAsia"/>
            <w:sz w:val="18"/>
          </w:rPr>
          <w:t>日</w:t>
        </w:r>
      </w:smartTag>
      <w:r>
        <w:rPr>
          <w:rFonts w:eastAsia="標楷體" w:hint="eastAsia"/>
          <w:sz w:val="18"/>
        </w:rPr>
        <w:t>92</w:t>
      </w:r>
      <w:r w:rsidRPr="00A9221B">
        <w:rPr>
          <w:rFonts w:eastAsia="標楷體" w:hint="eastAsia"/>
          <w:sz w:val="18"/>
        </w:rPr>
        <w:t>學年度笫一學期第</w:t>
      </w:r>
      <w:r>
        <w:rPr>
          <w:rFonts w:eastAsia="標楷體" w:hint="eastAsia"/>
          <w:sz w:val="18"/>
        </w:rPr>
        <w:t>三</w:t>
      </w:r>
      <w:r w:rsidRPr="00A9221B">
        <w:rPr>
          <w:rFonts w:eastAsia="標楷體" w:hint="eastAsia"/>
          <w:sz w:val="18"/>
        </w:rPr>
        <w:t>次糸務會議修正通過</w:t>
      </w:r>
    </w:p>
    <w:p w:rsidR="003927F1" w:rsidRDefault="003927F1" w:rsidP="003927F1">
      <w:pPr>
        <w:spacing w:line="280" w:lineRule="exact"/>
        <w:ind w:firstLineChars="2913" w:firstLine="5243"/>
        <w:jc w:val="both"/>
        <w:rPr>
          <w:rFonts w:eastAsia="標楷體"/>
          <w:sz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1996"/>
        </w:smartTagPr>
        <w:r>
          <w:rPr>
            <w:rFonts w:eastAsia="標楷體" w:hint="eastAsia"/>
            <w:sz w:val="18"/>
          </w:rPr>
          <w:t>96</w:t>
        </w:r>
        <w:r>
          <w:rPr>
            <w:rFonts w:eastAsia="標楷體" w:hint="eastAsia"/>
            <w:sz w:val="18"/>
          </w:rPr>
          <w:t>年</w:t>
        </w:r>
        <w:r>
          <w:rPr>
            <w:rFonts w:eastAsia="標楷體" w:hint="eastAsia"/>
            <w:sz w:val="18"/>
          </w:rPr>
          <w:t>9</w:t>
        </w:r>
        <w:r>
          <w:rPr>
            <w:rFonts w:eastAsia="標楷體" w:hint="eastAsia"/>
            <w:sz w:val="18"/>
          </w:rPr>
          <w:t>月</w:t>
        </w:r>
        <w:r>
          <w:rPr>
            <w:rFonts w:eastAsia="標楷體" w:hint="eastAsia"/>
            <w:sz w:val="18"/>
          </w:rPr>
          <w:t>17</w:t>
        </w:r>
        <w:r>
          <w:rPr>
            <w:rFonts w:eastAsia="標楷體" w:hint="eastAsia"/>
            <w:sz w:val="18"/>
          </w:rPr>
          <w:t>日</w:t>
        </w:r>
      </w:smartTag>
      <w:r>
        <w:rPr>
          <w:rFonts w:eastAsia="標楷體" w:hint="eastAsia"/>
          <w:sz w:val="18"/>
        </w:rPr>
        <w:t>96</w:t>
      </w:r>
      <w:r w:rsidRPr="00A9221B">
        <w:rPr>
          <w:rFonts w:eastAsia="標楷體" w:hint="eastAsia"/>
          <w:sz w:val="18"/>
        </w:rPr>
        <w:t>學年度笫一學期第</w:t>
      </w:r>
      <w:r>
        <w:rPr>
          <w:rFonts w:eastAsia="標楷體" w:hint="eastAsia"/>
          <w:sz w:val="18"/>
        </w:rPr>
        <w:t>一</w:t>
      </w:r>
      <w:r w:rsidRPr="00A9221B">
        <w:rPr>
          <w:rFonts w:eastAsia="標楷體" w:hint="eastAsia"/>
          <w:sz w:val="18"/>
        </w:rPr>
        <w:t>次糸務會議修正通過</w:t>
      </w:r>
    </w:p>
    <w:p w:rsidR="003927F1" w:rsidRDefault="003927F1" w:rsidP="003927F1">
      <w:pPr>
        <w:spacing w:line="280" w:lineRule="exact"/>
        <w:ind w:firstLineChars="2913" w:firstLine="5243"/>
        <w:jc w:val="both"/>
        <w:rPr>
          <w:rFonts w:eastAsia="標楷體"/>
          <w:sz w:val="1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9"/>
          <w:attr w:name="Year" w:val="1999"/>
        </w:smartTagPr>
        <w:r>
          <w:rPr>
            <w:rFonts w:eastAsia="標楷體" w:hint="eastAsia"/>
            <w:sz w:val="18"/>
          </w:rPr>
          <w:t>99</w:t>
        </w:r>
        <w:r>
          <w:rPr>
            <w:rFonts w:eastAsia="標楷體" w:hint="eastAsia"/>
            <w:sz w:val="18"/>
          </w:rPr>
          <w:t>年</w:t>
        </w:r>
        <w:r>
          <w:rPr>
            <w:rFonts w:eastAsia="標楷體" w:hint="eastAsia"/>
            <w:sz w:val="18"/>
          </w:rPr>
          <w:t>9</w:t>
        </w:r>
        <w:r>
          <w:rPr>
            <w:rFonts w:eastAsia="標楷體" w:hint="eastAsia"/>
            <w:sz w:val="18"/>
          </w:rPr>
          <w:t>月</w:t>
        </w:r>
        <w:r>
          <w:rPr>
            <w:rFonts w:eastAsia="標楷體" w:hint="eastAsia"/>
            <w:sz w:val="18"/>
          </w:rPr>
          <w:t>20</w:t>
        </w:r>
        <w:r>
          <w:rPr>
            <w:rFonts w:eastAsia="標楷體" w:hint="eastAsia"/>
            <w:sz w:val="18"/>
          </w:rPr>
          <w:t>日</w:t>
        </w:r>
      </w:smartTag>
      <w:r>
        <w:rPr>
          <w:rFonts w:eastAsia="標楷體" w:hint="eastAsia"/>
          <w:sz w:val="18"/>
        </w:rPr>
        <w:t>99</w:t>
      </w:r>
      <w:r w:rsidRPr="00A9221B">
        <w:rPr>
          <w:rFonts w:eastAsia="標楷體" w:hint="eastAsia"/>
          <w:sz w:val="18"/>
        </w:rPr>
        <w:t>學年度笫一學期第</w:t>
      </w:r>
      <w:r>
        <w:rPr>
          <w:rFonts w:eastAsia="標楷體" w:hint="eastAsia"/>
          <w:sz w:val="18"/>
        </w:rPr>
        <w:t>一</w:t>
      </w:r>
      <w:r w:rsidRPr="00A9221B">
        <w:rPr>
          <w:rFonts w:eastAsia="標楷體" w:hint="eastAsia"/>
          <w:sz w:val="18"/>
        </w:rPr>
        <w:t>次糸務會議修正通過</w:t>
      </w:r>
    </w:p>
    <w:p w:rsidR="003927F1" w:rsidRPr="00B67950" w:rsidRDefault="003927F1" w:rsidP="00B67950">
      <w:pPr>
        <w:spacing w:line="280" w:lineRule="exact"/>
        <w:ind w:firstLineChars="2913" w:firstLine="5243"/>
        <w:jc w:val="right"/>
        <w:rPr>
          <w:rFonts w:eastAsia="標楷體"/>
          <w:sz w:val="18"/>
        </w:rPr>
      </w:pPr>
      <w:r>
        <w:rPr>
          <w:rFonts w:eastAsia="標楷體" w:hint="eastAsia"/>
          <w:sz w:val="18"/>
        </w:rPr>
        <w:t>103</w:t>
      </w:r>
      <w:r>
        <w:rPr>
          <w:rFonts w:eastAsia="標楷體" w:hint="eastAsia"/>
          <w:sz w:val="18"/>
        </w:rPr>
        <w:t>年</w:t>
      </w:r>
      <w:r>
        <w:rPr>
          <w:rFonts w:eastAsia="標楷體" w:hint="eastAsia"/>
          <w:sz w:val="18"/>
        </w:rPr>
        <w:t>3</w:t>
      </w:r>
      <w:r>
        <w:rPr>
          <w:rFonts w:eastAsia="標楷體" w:hint="eastAsia"/>
          <w:sz w:val="18"/>
        </w:rPr>
        <w:t>月</w:t>
      </w:r>
      <w:r>
        <w:rPr>
          <w:rFonts w:eastAsia="標楷體" w:hint="eastAsia"/>
          <w:sz w:val="18"/>
        </w:rPr>
        <w:t>17</w:t>
      </w:r>
      <w:r>
        <w:rPr>
          <w:rFonts w:eastAsia="標楷體" w:hint="eastAsia"/>
          <w:sz w:val="18"/>
        </w:rPr>
        <w:t>日</w:t>
      </w:r>
      <w:r>
        <w:rPr>
          <w:rFonts w:eastAsia="標楷體" w:hint="eastAsia"/>
          <w:sz w:val="18"/>
        </w:rPr>
        <w:t>102</w:t>
      </w:r>
      <w:r w:rsidRPr="00A9221B">
        <w:rPr>
          <w:rFonts w:eastAsia="標楷體" w:hint="eastAsia"/>
          <w:sz w:val="18"/>
        </w:rPr>
        <w:t>學年度笫</w:t>
      </w:r>
      <w:r>
        <w:rPr>
          <w:rFonts w:eastAsia="標楷體" w:hint="eastAsia"/>
          <w:sz w:val="18"/>
        </w:rPr>
        <w:t>二</w:t>
      </w:r>
      <w:r w:rsidRPr="00A9221B">
        <w:rPr>
          <w:rFonts w:eastAsia="標楷體" w:hint="eastAsia"/>
          <w:sz w:val="18"/>
        </w:rPr>
        <w:t>學期第</w:t>
      </w:r>
      <w:r>
        <w:rPr>
          <w:rFonts w:eastAsia="標楷體" w:hint="eastAsia"/>
          <w:sz w:val="18"/>
        </w:rPr>
        <w:t>二</w:t>
      </w:r>
      <w:r w:rsidRPr="00A9221B">
        <w:rPr>
          <w:rFonts w:eastAsia="標楷體" w:hint="eastAsia"/>
          <w:sz w:val="18"/>
        </w:rPr>
        <w:t>次糸務會議修正通過</w:t>
      </w:r>
      <w:r w:rsidR="00B67950">
        <w:rPr>
          <w:rFonts w:eastAsia="標楷體"/>
          <w:sz w:val="18"/>
        </w:rPr>
        <w:br/>
      </w:r>
      <w:r w:rsidR="00B67950">
        <w:rPr>
          <w:rFonts w:eastAsia="標楷體" w:hint="eastAsia"/>
          <w:sz w:val="18"/>
        </w:rPr>
        <w:t>103</w:t>
      </w:r>
      <w:r w:rsidR="00B67950">
        <w:rPr>
          <w:rFonts w:eastAsia="標楷體" w:hint="eastAsia"/>
          <w:sz w:val="18"/>
        </w:rPr>
        <w:t>年</w:t>
      </w:r>
      <w:r w:rsidR="00B67950">
        <w:rPr>
          <w:rFonts w:eastAsia="標楷體" w:hint="eastAsia"/>
          <w:sz w:val="18"/>
        </w:rPr>
        <w:t>6</w:t>
      </w:r>
      <w:r w:rsidR="00B67950">
        <w:rPr>
          <w:rFonts w:eastAsia="標楷體" w:hint="eastAsia"/>
          <w:sz w:val="18"/>
        </w:rPr>
        <w:t>月</w:t>
      </w:r>
      <w:r w:rsidR="00B67950">
        <w:rPr>
          <w:rFonts w:eastAsia="標楷體" w:hint="eastAsia"/>
          <w:sz w:val="18"/>
        </w:rPr>
        <w:t>19</w:t>
      </w:r>
      <w:r w:rsidR="00B67950">
        <w:rPr>
          <w:rFonts w:eastAsia="標楷體" w:hint="eastAsia"/>
          <w:sz w:val="18"/>
        </w:rPr>
        <w:t>日</w:t>
      </w:r>
      <w:r w:rsidR="00B67950">
        <w:rPr>
          <w:rFonts w:eastAsia="標楷體" w:hint="eastAsia"/>
          <w:sz w:val="18"/>
        </w:rPr>
        <w:t>102</w:t>
      </w:r>
      <w:r w:rsidR="00B67950" w:rsidRPr="00A9221B">
        <w:rPr>
          <w:rFonts w:eastAsia="標楷體" w:hint="eastAsia"/>
          <w:sz w:val="18"/>
        </w:rPr>
        <w:t>學年度笫</w:t>
      </w:r>
      <w:r w:rsidR="00B67950">
        <w:rPr>
          <w:rFonts w:eastAsia="標楷體" w:hint="eastAsia"/>
          <w:sz w:val="18"/>
        </w:rPr>
        <w:t>二</w:t>
      </w:r>
      <w:r w:rsidR="00B67950" w:rsidRPr="00A9221B">
        <w:rPr>
          <w:rFonts w:eastAsia="標楷體" w:hint="eastAsia"/>
          <w:sz w:val="18"/>
        </w:rPr>
        <w:t>學期第</w:t>
      </w:r>
      <w:r w:rsidR="00B67950">
        <w:rPr>
          <w:rFonts w:eastAsia="標楷體" w:hint="eastAsia"/>
          <w:sz w:val="18"/>
        </w:rPr>
        <w:t>四</w:t>
      </w:r>
      <w:r w:rsidR="00B67950" w:rsidRPr="00A9221B">
        <w:rPr>
          <w:rFonts w:eastAsia="標楷體" w:hint="eastAsia"/>
          <w:sz w:val="18"/>
        </w:rPr>
        <w:t>次</w:t>
      </w:r>
      <w:r w:rsidR="00B67950">
        <w:rPr>
          <w:rFonts w:eastAsia="標楷體" w:hint="eastAsia"/>
          <w:sz w:val="18"/>
        </w:rPr>
        <w:t>校教評</w:t>
      </w:r>
      <w:r w:rsidR="00B67950" w:rsidRPr="00A9221B">
        <w:rPr>
          <w:rFonts w:eastAsia="標楷體" w:hint="eastAsia"/>
          <w:sz w:val="18"/>
        </w:rPr>
        <w:t>會</w:t>
      </w:r>
      <w:bookmarkStart w:id="0" w:name="_GoBack"/>
      <w:bookmarkEnd w:id="0"/>
      <w:r w:rsidR="00B67950" w:rsidRPr="00A9221B">
        <w:rPr>
          <w:rFonts w:eastAsia="標楷體" w:hint="eastAsia"/>
          <w:sz w:val="18"/>
        </w:rPr>
        <w:t>修正通過</w:t>
      </w:r>
    </w:p>
    <w:p w:rsidR="003927F1" w:rsidRPr="00E51BED" w:rsidRDefault="003927F1" w:rsidP="003927F1">
      <w:pPr>
        <w:spacing w:beforeLines="50" w:before="120" w:line="360" w:lineRule="exact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第一條</w:t>
      </w:r>
      <w:r w:rsidRPr="00E51BED">
        <w:rPr>
          <w:rFonts w:eastAsia="Arial Unicode MS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本系教師升等辦法係根據「國立成功大學教師升等辦法」訂定。</w:t>
      </w:r>
    </w:p>
    <w:p w:rsidR="003927F1" w:rsidRPr="00E51BED" w:rsidRDefault="003927F1" w:rsidP="003927F1">
      <w:pPr>
        <w:spacing w:line="360" w:lineRule="exact"/>
        <w:ind w:leftChars="1" w:left="825" w:hangingChars="343" w:hanging="823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第二條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本系為提高教師在教學及研究方面之學術水準，並鼓勵教師對本系、本校及工業界之服務，升等申請以教學（</w:t>
      </w:r>
      <w:r w:rsidRPr="00E51BED">
        <w:rPr>
          <w:rFonts w:eastAsia="標楷體" w:hint="eastAsia"/>
          <w:szCs w:val="24"/>
        </w:rPr>
        <w:t>4</w:t>
      </w:r>
      <w:r w:rsidRPr="00E51BED">
        <w:rPr>
          <w:rFonts w:eastAsia="標楷體"/>
          <w:szCs w:val="24"/>
        </w:rPr>
        <w:t>0</w:t>
      </w:r>
      <w:r w:rsidRPr="00E51BED">
        <w:rPr>
          <w:rFonts w:ascii="標楷體" w:eastAsia="標楷體" w:hAnsi="標楷體" w:hint="eastAsia"/>
          <w:szCs w:val="24"/>
        </w:rPr>
        <w:t>％</w:t>
      </w:r>
      <w:r w:rsidRPr="00E51BED">
        <w:rPr>
          <w:rFonts w:eastAsia="標楷體" w:hint="eastAsia"/>
          <w:szCs w:val="24"/>
        </w:rPr>
        <w:t>）、研究（</w:t>
      </w:r>
      <w:r w:rsidRPr="00E51BED">
        <w:rPr>
          <w:rFonts w:eastAsia="標楷體" w:hint="eastAsia"/>
          <w:szCs w:val="24"/>
        </w:rPr>
        <w:t>4</w:t>
      </w:r>
      <w:r w:rsidRPr="00E51BED">
        <w:rPr>
          <w:rFonts w:eastAsia="標楷體"/>
          <w:szCs w:val="24"/>
        </w:rPr>
        <w:t>0</w:t>
      </w:r>
      <w:r w:rsidRPr="00E51BED">
        <w:rPr>
          <w:rFonts w:ascii="標楷體" w:eastAsia="標楷體" w:hAnsi="標楷體" w:hint="eastAsia"/>
          <w:szCs w:val="24"/>
        </w:rPr>
        <w:t>％</w:t>
      </w:r>
      <w:r w:rsidRPr="00E51BED">
        <w:rPr>
          <w:rFonts w:eastAsia="標楷體" w:hint="eastAsia"/>
          <w:szCs w:val="24"/>
        </w:rPr>
        <w:t>）及服務（</w:t>
      </w:r>
      <w:r w:rsidRPr="00E51BED">
        <w:rPr>
          <w:rFonts w:eastAsia="標楷體" w:hint="eastAsia"/>
          <w:szCs w:val="24"/>
        </w:rPr>
        <w:t>2</w:t>
      </w:r>
      <w:r w:rsidRPr="00E51BED">
        <w:rPr>
          <w:rFonts w:eastAsia="標楷體"/>
          <w:szCs w:val="24"/>
        </w:rPr>
        <w:t>0</w:t>
      </w:r>
      <w:r w:rsidRPr="00E51BED">
        <w:rPr>
          <w:rFonts w:ascii="標楷體" w:eastAsia="標楷體" w:hAnsi="標楷體" w:hint="eastAsia"/>
          <w:szCs w:val="24"/>
        </w:rPr>
        <w:t>％</w:t>
      </w:r>
      <w:r w:rsidRPr="00E51BED">
        <w:rPr>
          <w:rFonts w:eastAsia="標楷體" w:hint="eastAsia"/>
          <w:szCs w:val="24"/>
        </w:rPr>
        <w:t>）三方面之表現成績評審之。</w:t>
      </w:r>
    </w:p>
    <w:p w:rsidR="003927F1" w:rsidRPr="00E51BED" w:rsidRDefault="003927F1" w:rsidP="003927F1">
      <w:pPr>
        <w:spacing w:line="360" w:lineRule="exact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第三條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教師之升等評審工作由本系教師評審委員會</w:t>
      </w:r>
      <w:r w:rsidRPr="00E51BED">
        <w:rPr>
          <w:rFonts w:eastAsia="標楷體" w:hint="eastAsia"/>
          <w:szCs w:val="24"/>
        </w:rPr>
        <w:t>(</w:t>
      </w:r>
      <w:r w:rsidRPr="00E51BED">
        <w:rPr>
          <w:rFonts w:eastAsia="標楷體" w:hint="eastAsia"/>
          <w:szCs w:val="24"/>
        </w:rPr>
        <w:t>簡稱教評會</w:t>
      </w:r>
      <w:r w:rsidRPr="00E51BED">
        <w:rPr>
          <w:rFonts w:eastAsia="標楷體" w:hint="eastAsia"/>
          <w:szCs w:val="24"/>
        </w:rPr>
        <w:t>)</w:t>
      </w:r>
      <w:r w:rsidRPr="00E51BED">
        <w:rPr>
          <w:rFonts w:eastAsia="標楷體" w:hint="eastAsia"/>
          <w:szCs w:val="24"/>
        </w:rPr>
        <w:t>擔任評審。</w:t>
      </w:r>
    </w:p>
    <w:p w:rsidR="003927F1" w:rsidRPr="00E51BED" w:rsidRDefault="003927F1" w:rsidP="003927F1">
      <w:pPr>
        <w:spacing w:line="360" w:lineRule="exact"/>
        <w:ind w:left="840" w:hangingChars="350" w:hanging="840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第四條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申請升等為教授時，必需在擔任相當於副教授工作三年後，申請升等為副教授時，必需在擔任相當於助理教授工作三年後</w:t>
      </w:r>
      <w:r w:rsidRPr="00E51BED">
        <w:rPr>
          <w:rFonts w:eastAsia="標楷體" w:hint="eastAsia"/>
          <w:szCs w:val="24"/>
        </w:rPr>
        <w:t>(</w:t>
      </w:r>
      <w:r w:rsidRPr="00E51BED">
        <w:rPr>
          <w:rFonts w:eastAsia="標楷體" w:hint="eastAsia"/>
          <w:szCs w:val="24"/>
        </w:rPr>
        <w:t>其年資由學校相關單位依教育部規定審定</w:t>
      </w:r>
      <w:r w:rsidRPr="00E51BED">
        <w:rPr>
          <w:rFonts w:eastAsia="標楷體" w:hint="eastAsia"/>
          <w:szCs w:val="24"/>
        </w:rPr>
        <w:t>)</w:t>
      </w:r>
      <w:r w:rsidRPr="00E51BED">
        <w:rPr>
          <w:rFonts w:eastAsia="標楷體" w:hint="eastAsia"/>
          <w:szCs w:val="24"/>
        </w:rPr>
        <w:t>，依規定手續提出。</w:t>
      </w:r>
    </w:p>
    <w:p w:rsidR="003927F1" w:rsidRPr="00E51BED" w:rsidRDefault="003927F1" w:rsidP="003927F1">
      <w:pPr>
        <w:pStyle w:val="a7"/>
        <w:spacing w:before="0" w:line="360" w:lineRule="exact"/>
        <w:ind w:leftChars="-1" w:left="826" w:hangingChars="345" w:hanging="828"/>
        <w:rPr>
          <w:sz w:val="24"/>
          <w:szCs w:val="24"/>
        </w:rPr>
      </w:pPr>
      <w:r w:rsidRPr="00E51BED">
        <w:rPr>
          <w:rFonts w:ascii="標楷體" w:hAnsi="標楷體" w:cs="Arial Unicode MS" w:hint="eastAsia"/>
          <w:sz w:val="24"/>
          <w:szCs w:val="24"/>
        </w:rPr>
        <w:t>第</w:t>
      </w:r>
      <w:r>
        <w:rPr>
          <w:rFonts w:ascii="標楷體" w:hAnsi="標楷體" w:cs="Arial Unicode MS" w:hint="eastAsia"/>
          <w:sz w:val="24"/>
          <w:szCs w:val="24"/>
        </w:rPr>
        <w:t>五</w:t>
      </w:r>
      <w:r w:rsidRPr="00E51BED">
        <w:rPr>
          <w:rFonts w:ascii="標楷體" w:hAnsi="標楷體" w:cs="Arial Unicode MS" w:hint="eastAsia"/>
          <w:sz w:val="24"/>
          <w:szCs w:val="24"/>
        </w:rPr>
        <w:t>條</w:t>
      </w:r>
      <w:r>
        <w:rPr>
          <w:rFonts w:ascii="標楷體" w:hAnsi="標楷體" w:cs="Arial Unicode MS" w:hint="eastAsia"/>
          <w:sz w:val="24"/>
          <w:szCs w:val="24"/>
        </w:rPr>
        <w:t xml:space="preserve"> </w:t>
      </w:r>
      <w:r w:rsidRPr="00E51BED">
        <w:rPr>
          <w:rFonts w:hint="eastAsia"/>
          <w:sz w:val="24"/>
          <w:szCs w:val="24"/>
        </w:rPr>
        <w:t>在教學成績方面，教評會得視需要查訪學生及有關人員，並得參考學校之調查報告後評分。評審結果分為</w:t>
      </w:r>
      <w:r w:rsidRPr="00E51BED">
        <w:rPr>
          <w:rFonts w:hint="eastAsia"/>
          <w:sz w:val="24"/>
          <w:szCs w:val="24"/>
        </w:rPr>
        <w:t>A</w:t>
      </w:r>
      <w:r w:rsidRPr="00E51BED">
        <w:rPr>
          <w:rFonts w:hint="eastAsia"/>
          <w:sz w:val="24"/>
          <w:szCs w:val="24"/>
        </w:rPr>
        <w:t>、</w:t>
      </w:r>
      <w:r w:rsidRPr="00E51BED">
        <w:rPr>
          <w:rFonts w:hint="eastAsia"/>
          <w:sz w:val="24"/>
          <w:szCs w:val="24"/>
        </w:rPr>
        <w:t xml:space="preserve"> B</w:t>
      </w:r>
      <w:r w:rsidRPr="00E51BED">
        <w:rPr>
          <w:rFonts w:hint="eastAsia"/>
          <w:sz w:val="24"/>
          <w:szCs w:val="24"/>
        </w:rPr>
        <w:t>、</w:t>
      </w:r>
      <w:r w:rsidRPr="00E51BED">
        <w:rPr>
          <w:rFonts w:hint="eastAsia"/>
          <w:sz w:val="24"/>
          <w:szCs w:val="24"/>
        </w:rPr>
        <w:t xml:space="preserve"> C</w:t>
      </w:r>
      <w:r w:rsidRPr="00E51BED">
        <w:rPr>
          <w:rFonts w:hint="eastAsia"/>
          <w:sz w:val="24"/>
          <w:szCs w:val="24"/>
        </w:rPr>
        <w:t>、</w:t>
      </w:r>
      <w:r w:rsidRPr="00E51BED">
        <w:rPr>
          <w:rFonts w:hint="eastAsia"/>
          <w:sz w:val="24"/>
          <w:szCs w:val="24"/>
        </w:rPr>
        <w:t>D</w:t>
      </w:r>
      <w:r w:rsidRPr="00E51BED">
        <w:rPr>
          <w:rFonts w:hint="eastAsia"/>
          <w:sz w:val="24"/>
          <w:szCs w:val="24"/>
        </w:rPr>
        <w:t>及</w:t>
      </w:r>
      <w:r w:rsidRPr="00E51BED">
        <w:rPr>
          <w:rFonts w:hint="eastAsia"/>
          <w:sz w:val="24"/>
          <w:szCs w:val="24"/>
        </w:rPr>
        <w:t>E</w:t>
      </w:r>
      <w:r w:rsidRPr="00E51BED">
        <w:rPr>
          <w:rFonts w:hint="eastAsia"/>
          <w:sz w:val="24"/>
          <w:szCs w:val="24"/>
        </w:rPr>
        <w:t>五級，計分時</w:t>
      </w:r>
      <w:r w:rsidRPr="00E51BED">
        <w:rPr>
          <w:sz w:val="24"/>
          <w:szCs w:val="24"/>
        </w:rPr>
        <w:t>A</w:t>
      </w:r>
      <w:r w:rsidRPr="00E51BED">
        <w:rPr>
          <w:rFonts w:hint="eastAsia"/>
          <w:sz w:val="24"/>
          <w:szCs w:val="24"/>
        </w:rPr>
        <w:t>級為</w:t>
      </w:r>
      <w:r w:rsidRPr="00E51BED">
        <w:rPr>
          <w:rFonts w:hint="eastAsia"/>
          <w:sz w:val="24"/>
          <w:szCs w:val="24"/>
        </w:rPr>
        <w:t>100</w:t>
      </w:r>
      <w:r w:rsidRPr="00E51BED">
        <w:rPr>
          <w:rFonts w:hint="eastAsia"/>
          <w:sz w:val="24"/>
          <w:szCs w:val="24"/>
        </w:rPr>
        <w:t>分，</w:t>
      </w:r>
      <w:r w:rsidRPr="00E51BED">
        <w:rPr>
          <w:rFonts w:hint="eastAsia"/>
          <w:sz w:val="24"/>
          <w:szCs w:val="24"/>
        </w:rPr>
        <w:t>B</w:t>
      </w:r>
      <w:r w:rsidRPr="00E51BED">
        <w:rPr>
          <w:rFonts w:hint="eastAsia"/>
          <w:sz w:val="24"/>
          <w:szCs w:val="24"/>
        </w:rPr>
        <w:t>級為</w:t>
      </w:r>
      <w:r w:rsidRPr="00E51BED">
        <w:rPr>
          <w:sz w:val="24"/>
          <w:szCs w:val="24"/>
        </w:rPr>
        <w:t>90</w:t>
      </w:r>
      <w:r w:rsidRPr="00E51BED">
        <w:rPr>
          <w:rFonts w:hint="eastAsia"/>
          <w:sz w:val="24"/>
          <w:szCs w:val="24"/>
        </w:rPr>
        <w:t>分，</w:t>
      </w:r>
      <w:r w:rsidRPr="00E51BED">
        <w:rPr>
          <w:rFonts w:hint="eastAsia"/>
          <w:sz w:val="24"/>
          <w:szCs w:val="24"/>
        </w:rPr>
        <w:t>C</w:t>
      </w:r>
      <w:r w:rsidRPr="00E51BED">
        <w:rPr>
          <w:rFonts w:hint="eastAsia"/>
          <w:sz w:val="24"/>
          <w:szCs w:val="24"/>
        </w:rPr>
        <w:t>級為</w:t>
      </w:r>
      <w:r w:rsidRPr="00E51BED">
        <w:rPr>
          <w:sz w:val="24"/>
          <w:szCs w:val="24"/>
        </w:rPr>
        <w:t>80</w:t>
      </w:r>
      <w:r w:rsidRPr="00E51BED">
        <w:rPr>
          <w:rFonts w:hint="eastAsia"/>
          <w:sz w:val="24"/>
          <w:szCs w:val="24"/>
        </w:rPr>
        <w:t>分，</w:t>
      </w:r>
      <w:r w:rsidRPr="00E51BED">
        <w:rPr>
          <w:rFonts w:hint="eastAsia"/>
          <w:sz w:val="24"/>
          <w:szCs w:val="24"/>
        </w:rPr>
        <w:t>D</w:t>
      </w:r>
      <w:r w:rsidRPr="00E51BED">
        <w:rPr>
          <w:rFonts w:hint="eastAsia"/>
          <w:sz w:val="24"/>
          <w:szCs w:val="24"/>
        </w:rPr>
        <w:t>級為</w:t>
      </w:r>
      <w:r w:rsidRPr="00E51BED">
        <w:rPr>
          <w:sz w:val="24"/>
          <w:szCs w:val="24"/>
        </w:rPr>
        <w:t>70</w:t>
      </w:r>
      <w:r w:rsidRPr="00E51BED">
        <w:rPr>
          <w:rFonts w:hint="eastAsia"/>
          <w:sz w:val="24"/>
          <w:szCs w:val="24"/>
        </w:rPr>
        <w:t>分，</w:t>
      </w:r>
      <w:r w:rsidRPr="00E51BED">
        <w:rPr>
          <w:rFonts w:hint="eastAsia"/>
          <w:sz w:val="24"/>
          <w:szCs w:val="24"/>
        </w:rPr>
        <w:t>E</w:t>
      </w:r>
      <w:r w:rsidRPr="00E51BED">
        <w:rPr>
          <w:rFonts w:hint="eastAsia"/>
          <w:sz w:val="24"/>
          <w:szCs w:val="24"/>
        </w:rPr>
        <w:t>級為</w:t>
      </w:r>
      <w:r w:rsidRPr="00E51BED">
        <w:rPr>
          <w:rFonts w:hint="eastAsia"/>
          <w:sz w:val="24"/>
          <w:szCs w:val="24"/>
        </w:rPr>
        <w:t>60</w:t>
      </w:r>
      <w:r w:rsidRPr="00E51BED">
        <w:rPr>
          <w:rFonts w:hint="eastAsia"/>
          <w:sz w:val="24"/>
          <w:szCs w:val="24"/>
        </w:rPr>
        <w:t>分，將各位委員評審結果平均之。本項佔總成績之</w:t>
      </w:r>
      <w:r w:rsidRPr="00E51BED">
        <w:rPr>
          <w:rFonts w:hint="eastAsia"/>
          <w:sz w:val="24"/>
          <w:szCs w:val="24"/>
        </w:rPr>
        <w:t>4</w:t>
      </w:r>
      <w:r w:rsidRPr="00E51BED">
        <w:rPr>
          <w:sz w:val="24"/>
          <w:szCs w:val="24"/>
        </w:rPr>
        <w:t>0</w:t>
      </w:r>
      <w:r w:rsidRPr="00E51BED">
        <w:rPr>
          <w:rFonts w:ascii="標楷體" w:hAnsi="標楷體" w:hint="eastAsia"/>
          <w:sz w:val="24"/>
          <w:szCs w:val="24"/>
        </w:rPr>
        <w:t>％</w:t>
      </w:r>
      <w:r w:rsidRPr="00E51BED">
        <w:rPr>
          <w:rFonts w:hint="eastAsia"/>
          <w:sz w:val="24"/>
          <w:szCs w:val="24"/>
        </w:rPr>
        <w:t>。</w:t>
      </w:r>
    </w:p>
    <w:p w:rsidR="003927F1" w:rsidRPr="00E51BED" w:rsidRDefault="003927F1" w:rsidP="003927F1">
      <w:pPr>
        <w:spacing w:line="360" w:lineRule="exact"/>
        <w:ind w:left="840" w:hangingChars="350" w:hanging="840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</w:t>
      </w:r>
      <w:r>
        <w:rPr>
          <w:rFonts w:ascii="標楷體" w:eastAsia="標楷體" w:hAnsi="標楷體" w:cs="Arial Unicode MS" w:hint="eastAsia"/>
          <w:szCs w:val="24"/>
        </w:rPr>
        <w:t>六</w:t>
      </w:r>
      <w:r w:rsidRPr="00E51BED">
        <w:rPr>
          <w:rFonts w:ascii="標楷體" w:eastAsia="標楷體" w:hAnsi="標楷體" w:cs="Arial Unicode MS" w:hint="eastAsia"/>
          <w:szCs w:val="24"/>
        </w:rPr>
        <w:t>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學術研究成績之</w:t>
      </w:r>
      <w:r w:rsidRPr="00E51BED">
        <w:rPr>
          <w:rFonts w:eastAsia="標楷體" w:hint="eastAsia"/>
          <w:szCs w:val="24"/>
        </w:rPr>
        <w:t>40</w:t>
      </w:r>
      <w:r w:rsidRPr="00E51BED">
        <w:rPr>
          <w:rFonts w:eastAsia="標楷體" w:hint="eastAsia"/>
          <w:szCs w:val="24"/>
        </w:rPr>
        <w:t>％由教評會各委員依申請資料評定。其餘</w:t>
      </w:r>
      <w:r w:rsidRPr="00E51BED">
        <w:rPr>
          <w:rFonts w:eastAsia="標楷體" w:hint="eastAsia"/>
          <w:szCs w:val="24"/>
        </w:rPr>
        <w:t>60</w:t>
      </w:r>
      <w:r w:rsidRPr="00E51BED">
        <w:rPr>
          <w:rFonts w:eastAsia="標楷體" w:hint="eastAsia"/>
          <w:szCs w:val="24"/>
        </w:rPr>
        <w:t>％依第七條及第八條辦法評定之；副教授升教授者，若積分超過</w:t>
      </w:r>
      <w:r w:rsidRPr="00E51BED">
        <w:rPr>
          <w:rFonts w:eastAsia="標楷體" w:hint="eastAsia"/>
          <w:szCs w:val="24"/>
        </w:rPr>
        <w:t>30</w:t>
      </w:r>
      <w:r w:rsidRPr="00E51BED">
        <w:rPr>
          <w:rFonts w:eastAsia="標楷體" w:hint="eastAsia"/>
          <w:szCs w:val="24"/>
        </w:rPr>
        <w:t>分則以</w:t>
      </w:r>
      <w:r w:rsidRPr="00E51BED">
        <w:rPr>
          <w:rFonts w:eastAsia="標楷體" w:hint="eastAsia"/>
          <w:szCs w:val="24"/>
        </w:rPr>
        <w:t>30</w:t>
      </w:r>
      <w:r w:rsidRPr="00E51BED">
        <w:rPr>
          <w:rFonts w:eastAsia="標楷體" w:hint="eastAsia"/>
          <w:szCs w:val="24"/>
        </w:rPr>
        <w:t>分計之，若未達</w:t>
      </w:r>
      <w:r w:rsidRPr="00E51BED">
        <w:rPr>
          <w:rFonts w:eastAsia="標楷體" w:hint="eastAsia"/>
          <w:szCs w:val="24"/>
        </w:rPr>
        <w:t>30</w:t>
      </w:r>
      <w:r w:rsidRPr="00E51BED">
        <w:rPr>
          <w:rFonts w:eastAsia="標楷體" w:hint="eastAsia"/>
          <w:szCs w:val="24"/>
        </w:rPr>
        <w:t>分，則依原積分除以</w:t>
      </w:r>
      <w:r w:rsidRPr="00E51BED">
        <w:rPr>
          <w:rFonts w:eastAsia="標楷體" w:hint="eastAsia"/>
          <w:szCs w:val="24"/>
        </w:rPr>
        <w:t>30</w:t>
      </w:r>
      <w:r w:rsidRPr="00E51BED">
        <w:rPr>
          <w:rFonts w:eastAsia="標楷體" w:hint="eastAsia"/>
          <w:szCs w:val="24"/>
        </w:rPr>
        <w:t>乘以</w:t>
      </w:r>
      <w:r w:rsidRPr="00E51BED">
        <w:rPr>
          <w:rFonts w:eastAsia="標楷體" w:hint="eastAsia"/>
          <w:szCs w:val="24"/>
        </w:rPr>
        <w:t>6</w:t>
      </w:r>
      <w:r w:rsidRPr="00E51BED">
        <w:rPr>
          <w:rFonts w:eastAsia="標楷體"/>
          <w:szCs w:val="24"/>
        </w:rPr>
        <w:t>0</w:t>
      </w:r>
      <w:r w:rsidRPr="00E51BED">
        <w:rPr>
          <w:rFonts w:ascii="標楷體" w:eastAsia="標楷體" w:hAnsi="標楷體" w:hint="eastAsia"/>
          <w:szCs w:val="24"/>
        </w:rPr>
        <w:t>％計之；</w:t>
      </w:r>
      <w:r w:rsidRPr="00E51BED">
        <w:rPr>
          <w:rFonts w:eastAsia="標楷體" w:hint="eastAsia"/>
          <w:szCs w:val="24"/>
        </w:rPr>
        <w:t>助理教授升副教授者，若積分超過</w:t>
      </w:r>
      <w:r w:rsidRPr="00E51BED">
        <w:rPr>
          <w:rFonts w:eastAsia="標楷體" w:hint="eastAsia"/>
          <w:szCs w:val="24"/>
        </w:rPr>
        <w:t>20</w:t>
      </w:r>
      <w:r w:rsidRPr="00E51BED">
        <w:rPr>
          <w:rFonts w:eastAsia="標楷體" w:hint="eastAsia"/>
          <w:szCs w:val="24"/>
        </w:rPr>
        <w:t>分則以</w:t>
      </w:r>
      <w:r w:rsidRPr="00E51BED">
        <w:rPr>
          <w:rFonts w:eastAsia="標楷體" w:hint="eastAsia"/>
          <w:szCs w:val="24"/>
        </w:rPr>
        <w:t>20</w:t>
      </w:r>
      <w:r w:rsidRPr="00E51BED">
        <w:rPr>
          <w:rFonts w:eastAsia="標楷體" w:hint="eastAsia"/>
          <w:szCs w:val="24"/>
        </w:rPr>
        <w:t>分計之，若未達</w:t>
      </w:r>
      <w:r w:rsidRPr="00E51BED">
        <w:rPr>
          <w:rFonts w:eastAsia="標楷體" w:hint="eastAsia"/>
          <w:szCs w:val="24"/>
        </w:rPr>
        <w:t>20</w:t>
      </w:r>
      <w:r w:rsidRPr="00E51BED">
        <w:rPr>
          <w:rFonts w:eastAsia="標楷體" w:hint="eastAsia"/>
          <w:szCs w:val="24"/>
        </w:rPr>
        <w:t>分，則依原積分除以</w:t>
      </w:r>
      <w:r w:rsidRPr="00E51BED">
        <w:rPr>
          <w:rFonts w:eastAsia="標楷體" w:hint="eastAsia"/>
          <w:szCs w:val="24"/>
        </w:rPr>
        <w:t>20</w:t>
      </w:r>
      <w:r w:rsidRPr="00E51BED">
        <w:rPr>
          <w:rFonts w:eastAsia="標楷體" w:hint="eastAsia"/>
          <w:szCs w:val="24"/>
        </w:rPr>
        <w:t>乘以</w:t>
      </w:r>
      <w:r w:rsidRPr="00E51BED">
        <w:rPr>
          <w:rFonts w:eastAsia="標楷體" w:hint="eastAsia"/>
          <w:szCs w:val="24"/>
        </w:rPr>
        <w:t>6</w:t>
      </w:r>
      <w:r w:rsidRPr="00E51BED">
        <w:rPr>
          <w:rFonts w:eastAsia="標楷體"/>
          <w:szCs w:val="24"/>
        </w:rPr>
        <w:t>0</w:t>
      </w:r>
      <w:r w:rsidRPr="00E51BED">
        <w:rPr>
          <w:rFonts w:ascii="標楷體" w:eastAsia="標楷體" w:hAnsi="標楷體" w:hint="eastAsia"/>
          <w:szCs w:val="24"/>
        </w:rPr>
        <w:t>％計之</w:t>
      </w:r>
      <w:r w:rsidRPr="00E51BED">
        <w:rPr>
          <w:rFonts w:eastAsia="標楷體" w:hint="eastAsia"/>
          <w:szCs w:val="24"/>
        </w:rPr>
        <w:t>。</w:t>
      </w:r>
    </w:p>
    <w:p w:rsidR="003927F1" w:rsidRPr="00E51BED" w:rsidRDefault="003927F1" w:rsidP="003927F1">
      <w:pPr>
        <w:spacing w:line="360" w:lineRule="exact"/>
        <w:ind w:left="826" w:hangingChars="344" w:hanging="826"/>
        <w:jc w:val="both"/>
        <w:rPr>
          <w:rFonts w:eastAsia="標楷體"/>
          <w:color w:val="000000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</w:t>
      </w:r>
      <w:r>
        <w:rPr>
          <w:rFonts w:ascii="標楷體" w:eastAsia="標楷體" w:hAnsi="標楷體" w:cs="Arial Unicode MS" w:hint="eastAsia"/>
          <w:szCs w:val="24"/>
        </w:rPr>
        <w:t>七</w:t>
      </w:r>
      <w:r w:rsidRPr="00E51BED">
        <w:rPr>
          <w:rFonts w:ascii="標楷體" w:eastAsia="標楷體" w:hAnsi="標楷體" w:cs="Arial Unicode MS" w:hint="eastAsia"/>
          <w:szCs w:val="24"/>
        </w:rPr>
        <w:t>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申請升等教師於著名學術期刊及會議等場合發表之論文（含已被接受且出具證明將定期發表者），依下列辦法評分：</w:t>
      </w:r>
    </w:p>
    <w:p w:rsidR="003927F1" w:rsidRPr="00E51BED" w:rsidRDefault="003927F1" w:rsidP="003927F1">
      <w:pPr>
        <w:spacing w:line="360" w:lineRule="exact"/>
        <w:ind w:leftChars="344" w:left="1776" w:hangingChars="396" w:hanging="950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⑴</w:t>
      </w:r>
      <w:r w:rsidRPr="00E51BED">
        <w:rPr>
          <w:rFonts w:eastAsia="標楷體" w:hint="eastAsia"/>
          <w:color w:val="000000"/>
          <w:szCs w:val="24"/>
        </w:rPr>
        <w:t>期刊：分為</w:t>
      </w:r>
      <w:r w:rsidRPr="00E51BED">
        <w:rPr>
          <w:rFonts w:eastAsia="標楷體"/>
          <w:color w:val="000000"/>
          <w:szCs w:val="24"/>
        </w:rPr>
        <w:t>AAA</w:t>
      </w:r>
      <w:r w:rsidRPr="00E51BED">
        <w:rPr>
          <w:rFonts w:eastAsia="標楷體" w:hint="eastAsia"/>
          <w:color w:val="000000"/>
          <w:szCs w:val="24"/>
        </w:rPr>
        <w:t>級、</w:t>
      </w:r>
      <w:r w:rsidRPr="00E51BED">
        <w:rPr>
          <w:rFonts w:eastAsia="標楷體"/>
          <w:color w:val="000000"/>
          <w:szCs w:val="24"/>
        </w:rPr>
        <w:t>AA</w:t>
      </w:r>
      <w:r w:rsidRPr="00E51BED">
        <w:rPr>
          <w:rFonts w:eastAsia="標楷體" w:hint="eastAsia"/>
          <w:color w:val="000000"/>
          <w:szCs w:val="24"/>
        </w:rPr>
        <w:t>級、</w:t>
      </w:r>
      <w:r w:rsidRPr="00E51BED">
        <w:rPr>
          <w:rFonts w:eastAsia="標楷體" w:hint="eastAsia"/>
          <w:color w:val="000000"/>
          <w:szCs w:val="24"/>
        </w:rPr>
        <w:t>A</w:t>
      </w:r>
      <w:r w:rsidRPr="00E51BED">
        <w:rPr>
          <w:rFonts w:eastAsia="標楷體" w:hint="eastAsia"/>
          <w:color w:val="000000"/>
          <w:szCs w:val="24"/>
        </w:rPr>
        <w:t>級、</w:t>
      </w:r>
      <w:r w:rsidRPr="00E51BED">
        <w:rPr>
          <w:rFonts w:eastAsia="標楷體" w:hint="eastAsia"/>
          <w:color w:val="000000"/>
          <w:szCs w:val="24"/>
        </w:rPr>
        <w:t>B</w:t>
      </w:r>
      <w:r w:rsidRPr="00E51BED">
        <w:rPr>
          <w:rFonts w:eastAsia="標楷體" w:hint="eastAsia"/>
          <w:color w:val="000000"/>
          <w:szCs w:val="24"/>
        </w:rPr>
        <w:t>級、</w:t>
      </w:r>
      <w:r w:rsidRPr="00E51BED">
        <w:rPr>
          <w:rFonts w:eastAsia="標楷體" w:hint="eastAsia"/>
          <w:color w:val="000000"/>
          <w:szCs w:val="24"/>
        </w:rPr>
        <w:t>C</w:t>
      </w:r>
      <w:r w:rsidRPr="00E51BED">
        <w:rPr>
          <w:rFonts w:eastAsia="標楷體" w:hint="eastAsia"/>
          <w:color w:val="000000"/>
          <w:szCs w:val="24"/>
        </w:rPr>
        <w:t>級及</w:t>
      </w:r>
      <w:r w:rsidRPr="00E51BED">
        <w:rPr>
          <w:rFonts w:eastAsia="標楷體" w:hint="eastAsia"/>
          <w:color w:val="000000"/>
          <w:szCs w:val="24"/>
        </w:rPr>
        <w:t>D</w:t>
      </w:r>
      <w:r w:rsidRPr="00E51BED">
        <w:rPr>
          <w:rFonts w:eastAsia="標楷體" w:hint="eastAsia"/>
          <w:color w:val="000000"/>
          <w:szCs w:val="24"/>
        </w:rPr>
        <w:t>級，各級分數分別為</w:t>
      </w:r>
      <w:r w:rsidRPr="00E51BED">
        <w:rPr>
          <w:rFonts w:eastAsia="標楷體"/>
          <w:color w:val="000000"/>
          <w:szCs w:val="24"/>
        </w:rPr>
        <w:t>AAA</w:t>
      </w:r>
      <w:r w:rsidRPr="00E51BED">
        <w:rPr>
          <w:rFonts w:eastAsia="標楷體" w:hint="eastAsia"/>
          <w:color w:val="000000"/>
          <w:szCs w:val="24"/>
        </w:rPr>
        <w:t>級</w:t>
      </w:r>
      <w:r w:rsidRPr="00E51BED">
        <w:rPr>
          <w:rFonts w:eastAsia="標楷體" w:hint="eastAsia"/>
          <w:color w:val="000000"/>
          <w:szCs w:val="24"/>
        </w:rPr>
        <w:t>5</w:t>
      </w:r>
      <w:r w:rsidRPr="00E51BED">
        <w:rPr>
          <w:rFonts w:eastAsia="標楷體" w:hint="eastAsia"/>
          <w:color w:val="000000"/>
          <w:szCs w:val="24"/>
        </w:rPr>
        <w:t>分、</w:t>
      </w:r>
      <w:r w:rsidRPr="00E51BED">
        <w:rPr>
          <w:rFonts w:eastAsia="標楷體"/>
          <w:color w:val="000000"/>
          <w:szCs w:val="24"/>
        </w:rPr>
        <w:t>AA</w:t>
      </w:r>
      <w:r w:rsidRPr="00E51BED">
        <w:rPr>
          <w:rFonts w:eastAsia="標楷體" w:hint="eastAsia"/>
          <w:color w:val="000000"/>
          <w:szCs w:val="24"/>
        </w:rPr>
        <w:t>級</w:t>
      </w:r>
      <w:r w:rsidRPr="00E51BED">
        <w:rPr>
          <w:rFonts w:eastAsia="標楷體" w:hint="eastAsia"/>
          <w:color w:val="000000"/>
          <w:szCs w:val="24"/>
        </w:rPr>
        <w:t>4</w:t>
      </w:r>
      <w:r w:rsidRPr="00E51BED">
        <w:rPr>
          <w:rFonts w:eastAsia="標楷體" w:hint="eastAsia"/>
          <w:color w:val="000000"/>
          <w:szCs w:val="24"/>
        </w:rPr>
        <w:t>分、</w:t>
      </w:r>
      <w:r w:rsidRPr="00E51BED">
        <w:rPr>
          <w:rFonts w:eastAsia="標楷體" w:hint="eastAsia"/>
          <w:color w:val="000000"/>
          <w:szCs w:val="24"/>
        </w:rPr>
        <w:t>A</w:t>
      </w:r>
      <w:r w:rsidRPr="00E51BED">
        <w:rPr>
          <w:rFonts w:eastAsia="標楷體" w:hint="eastAsia"/>
          <w:color w:val="000000"/>
          <w:szCs w:val="24"/>
        </w:rPr>
        <w:t>級</w:t>
      </w:r>
      <w:r w:rsidRPr="00E51BED">
        <w:rPr>
          <w:rFonts w:eastAsia="標楷體" w:hint="eastAsia"/>
          <w:color w:val="000000"/>
          <w:szCs w:val="24"/>
        </w:rPr>
        <w:t>3</w:t>
      </w:r>
      <w:r w:rsidRPr="00E51BED">
        <w:rPr>
          <w:rFonts w:eastAsia="標楷體" w:hint="eastAsia"/>
          <w:color w:val="000000"/>
          <w:szCs w:val="24"/>
        </w:rPr>
        <w:t>分、</w:t>
      </w:r>
      <w:r w:rsidRPr="00E51BED">
        <w:rPr>
          <w:rFonts w:eastAsia="標楷體" w:hint="eastAsia"/>
          <w:color w:val="000000"/>
          <w:szCs w:val="24"/>
        </w:rPr>
        <w:t>B</w:t>
      </w:r>
      <w:r w:rsidRPr="00E51BED">
        <w:rPr>
          <w:rFonts w:eastAsia="標楷體" w:hint="eastAsia"/>
          <w:color w:val="000000"/>
          <w:szCs w:val="24"/>
        </w:rPr>
        <w:t>級</w:t>
      </w:r>
      <w:r w:rsidRPr="00E51BED">
        <w:rPr>
          <w:rFonts w:eastAsia="標楷體" w:hint="eastAsia"/>
          <w:color w:val="000000"/>
          <w:szCs w:val="24"/>
        </w:rPr>
        <w:t>2</w:t>
      </w:r>
      <w:r w:rsidRPr="00E51BED">
        <w:rPr>
          <w:rFonts w:eastAsia="標楷體" w:hint="eastAsia"/>
          <w:color w:val="000000"/>
          <w:szCs w:val="24"/>
        </w:rPr>
        <w:t>分、</w:t>
      </w:r>
      <w:r w:rsidRPr="00E51BED">
        <w:rPr>
          <w:rFonts w:eastAsia="標楷體" w:hint="eastAsia"/>
          <w:color w:val="000000"/>
          <w:szCs w:val="24"/>
        </w:rPr>
        <w:t>C</w:t>
      </w:r>
      <w:r w:rsidRPr="00E51BED">
        <w:rPr>
          <w:rFonts w:eastAsia="標楷體" w:hint="eastAsia"/>
          <w:color w:val="000000"/>
          <w:szCs w:val="24"/>
        </w:rPr>
        <w:t>級</w:t>
      </w:r>
      <w:r w:rsidRPr="00E51BED">
        <w:rPr>
          <w:rFonts w:eastAsia="標楷體" w:hint="eastAsia"/>
          <w:color w:val="000000"/>
          <w:szCs w:val="24"/>
        </w:rPr>
        <w:t>1</w:t>
      </w:r>
      <w:r w:rsidRPr="00E51BED">
        <w:rPr>
          <w:rFonts w:eastAsia="標楷體" w:hint="eastAsia"/>
          <w:color w:val="000000"/>
          <w:szCs w:val="24"/>
        </w:rPr>
        <w:t>分、</w:t>
      </w:r>
      <w:r w:rsidRPr="00E51BED">
        <w:rPr>
          <w:rFonts w:eastAsia="標楷體" w:hint="eastAsia"/>
          <w:color w:val="000000"/>
          <w:szCs w:val="24"/>
        </w:rPr>
        <w:t>D</w:t>
      </w:r>
      <w:r w:rsidRPr="00E51BED">
        <w:rPr>
          <w:rFonts w:eastAsia="標楷體" w:hint="eastAsia"/>
          <w:color w:val="000000"/>
          <w:szCs w:val="24"/>
        </w:rPr>
        <w:t>級</w:t>
      </w:r>
      <w:r w:rsidRPr="00E51BED">
        <w:rPr>
          <w:rFonts w:eastAsia="標楷體" w:hint="eastAsia"/>
          <w:color w:val="000000"/>
          <w:szCs w:val="24"/>
        </w:rPr>
        <w:t>0.5</w:t>
      </w:r>
      <w:r w:rsidRPr="00E51BED">
        <w:rPr>
          <w:rFonts w:eastAsia="標楷體" w:hint="eastAsia"/>
          <w:color w:val="000000"/>
          <w:szCs w:val="24"/>
        </w:rPr>
        <w:t>分，期刊所附之</w:t>
      </w:r>
      <w:r w:rsidRPr="00E51BED">
        <w:rPr>
          <w:rFonts w:eastAsia="標楷體"/>
          <w:color w:val="000000"/>
          <w:szCs w:val="24"/>
        </w:rPr>
        <w:t>Letters</w:t>
      </w:r>
      <w:r w:rsidRPr="00E51BED">
        <w:rPr>
          <w:rFonts w:eastAsia="標楷體" w:hint="eastAsia"/>
          <w:color w:val="000000"/>
          <w:szCs w:val="24"/>
        </w:rPr>
        <w:t>、</w:t>
      </w:r>
      <w:r w:rsidRPr="00E51BED">
        <w:rPr>
          <w:rFonts w:eastAsia="標楷體"/>
          <w:color w:val="000000"/>
          <w:szCs w:val="24"/>
        </w:rPr>
        <w:t>Notes</w:t>
      </w:r>
      <w:r w:rsidRPr="00E51BED">
        <w:rPr>
          <w:rFonts w:eastAsia="標楷體" w:hint="eastAsia"/>
          <w:color w:val="000000"/>
          <w:szCs w:val="24"/>
        </w:rPr>
        <w:t>、</w:t>
      </w:r>
      <w:r w:rsidRPr="00E51BED">
        <w:rPr>
          <w:rFonts w:eastAsia="標楷體"/>
          <w:color w:val="000000"/>
          <w:szCs w:val="24"/>
        </w:rPr>
        <w:t>Communications</w:t>
      </w:r>
      <w:r w:rsidRPr="00E51BED">
        <w:rPr>
          <w:rFonts w:eastAsia="標楷體" w:hint="eastAsia"/>
          <w:color w:val="000000"/>
          <w:szCs w:val="24"/>
        </w:rPr>
        <w:t>等之分數由教評會評定之。期刊分級說明如下：</w:t>
      </w:r>
    </w:p>
    <w:p w:rsidR="003927F1" w:rsidRPr="00E51BED" w:rsidRDefault="003927F1" w:rsidP="003927F1">
      <w:pPr>
        <w:spacing w:line="360" w:lineRule="exact"/>
        <w:ind w:leftChars="442" w:left="1287" w:hangingChars="94" w:hanging="226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⒜</w:t>
      </w:r>
      <w:r w:rsidRPr="00E51BED">
        <w:rPr>
          <w:rFonts w:eastAsia="標楷體" w:hint="eastAsia"/>
          <w:color w:val="000000"/>
          <w:szCs w:val="24"/>
        </w:rPr>
        <w:t>如論文期刊為</w:t>
      </w:r>
      <w:r w:rsidRPr="00E51BED">
        <w:rPr>
          <w:rFonts w:eastAsia="標楷體"/>
          <w:color w:val="000000"/>
          <w:szCs w:val="24"/>
        </w:rPr>
        <w:t>ISI-JCR</w:t>
      </w:r>
      <w:r w:rsidRPr="00E51BED">
        <w:rPr>
          <w:rFonts w:eastAsia="標楷體" w:hint="eastAsia"/>
          <w:color w:val="000000"/>
          <w:szCs w:val="24"/>
        </w:rPr>
        <w:t>（</w:t>
      </w:r>
      <w:r w:rsidRPr="00E51BED">
        <w:rPr>
          <w:rFonts w:eastAsia="標楷體"/>
          <w:color w:val="000000"/>
          <w:szCs w:val="24"/>
        </w:rPr>
        <w:t>Institute for Scientific Information, Journal Citation Reports</w:t>
      </w:r>
      <w:r w:rsidRPr="00E51BED">
        <w:rPr>
          <w:rFonts w:eastAsia="標楷體" w:hint="eastAsia"/>
          <w:color w:val="000000"/>
          <w:szCs w:val="24"/>
        </w:rPr>
        <w:t>）含括於某領域，其分級如下：</w:t>
      </w:r>
    </w:p>
    <w:tbl>
      <w:tblPr>
        <w:tblW w:w="4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3596"/>
      </w:tblGrid>
      <w:tr w:rsidR="003927F1" w:rsidRPr="00E51BED" w:rsidTr="005C5B50">
        <w:trPr>
          <w:cantSplit/>
          <w:trHeight w:hRule="exact" w:val="284"/>
          <w:jc w:val="center"/>
        </w:trPr>
        <w:tc>
          <w:tcPr>
            <w:tcW w:w="1154" w:type="dxa"/>
            <w:vAlign w:val="center"/>
          </w:tcPr>
          <w:p w:rsidR="003927F1" w:rsidRPr="00E51BED" w:rsidRDefault="003927F1" w:rsidP="005C5B50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AAA</w:t>
            </w:r>
          </w:p>
        </w:tc>
        <w:tc>
          <w:tcPr>
            <w:tcW w:w="3596" w:type="dxa"/>
            <w:vAlign w:val="center"/>
          </w:tcPr>
          <w:p w:rsidR="003927F1" w:rsidRPr="00E51BED" w:rsidRDefault="003927F1" w:rsidP="005C5B50">
            <w:pPr>
              <w:spacing w:line="200" w:lineRule="exact"/>
              <w:ind w:rightChars="-348" w:right="-835"/>
              <w:jc w:val="both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JCR</w:t>
            </w:r>
            <w:r w:rsidRPr="00E51BED">
              <w:rPr>
                <w:rFonts w:eastAsia="標楷體" w:hint="eastAsia"/>
                <w:color w:val="000000"/>
                <w:szCs w:val="24"/>
              </w:rPr>
              <w:t>領域百分比小於</w:t>
            </w:r>
            <w:r w:rsidRPr="00E51BED">
              <w:rPr>
                <w:rFonts w:eastAsia="標楷體"/>
                <w:color w:val="000000"/>
                <w:szCs w:val="24"/>
              </w:rPr>
              <w:t>5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</w:t>
            </w:r>
          </w:p>
        </w:tc>
      </w:tr>
      <w:tr w:rsidR="003927F1" w:rsidRPr="00E51BED" w:rsidTr="005C5B50">
        <w:trPr>
          <w:cantSplit/>
          <w:trHeight w:hRule="exact" w:val="284"/>
          <w:jc w:val="center"/>
        </w:trPr>
        <w:tc>
          <w:tcPr>
            <w:tcW w:w="1154" w:type="dxa"/>
            <w:vAlign w:val="center"/>
          </w:tcPr>
          <w:p w:rsidR="003927F1" w:rsidRPr="00E51BED" w:rsidRDefault="003927F1" w:rsidP="005C5B50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AA</w:t>
            </w:r>
          </w:p>
        </w:tc>
        <w:tc>
          <w:tcPr>
            <w:tcW w:w="3596" w:type="dxa"/>
            <w:vAlign w:val="center"/>
          </w:tcPr>
          <w:p w:rsidR="003927F1" w:rsidRPr="00E51BED" w:rsidRDefault="003927F1" w:rsidP="005C5B50">
            <w:pPr>
              <w:spacing w:line="200" w:lineRule="exact"/>
              <w:ind w:rightChars="-348" w:right="-835"/>
              <w:jc w:val="both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JCR</w:t>
            </w:r>
            <w:r w:rsidRPr="00E51BED">
              <w:rPr>
                <w:rFonts w:eastAsia="標楷體" w:hint="eastAsia"/>
                <w:color w:val="000000"/>
                <w:szCs w:val="24"/>
              </w:rPr>
              <w:t>領域百分比介於</w:t>
            </w:r>
            <w:r w:rsidRPr="00E51BED">
              <w:rPr>
                <w:rFonts w:eastAsia="標楷體"/>
                <w:color w:val="000000"/>
                <w:szCs w:val="24"/>
              </w:rPr>
              <w:t>5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％至</w:t>
            </w:r>
            <w:r w:rsidRPr="00E51BED">
              <w:rPr>
                <w:rFonts w:eastAsia="標楷體"/>
                <w:color w:val="000000"/>
                <w:szCs w:val="24"/>
              </w:rPr>
              <w:t>10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</w:t>
            </w:r>
          </w:p>
        </w:tc>
      </w:tr>
      <w:tr w:rsidR="003927F1" w:rsidRPr="00E51BED" w:rsidTr="005C5B50">
        <w:trPr>
          <w:cantSplit/>
          <w:trHeight w:hRule="exact" w:val="284"/>
          <w:jc w:val="center"/>
        </w:trPr>
        <w:tc>
          <w:tcPr>
            <w:tcW w:w="1154" w:type="dxa"/>
            <w:vAlign w:val="center"/>
          </w:tcPr>
          <w:p w:rsidR="003927F1" w:rsidRPr="00E51BED" w:rsidRDefault="003927F1" w:rsidP="005C5B50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A</w:t>
            </w:r>
          </w:p>
        </w:tc>
        <w:tc>
          <w:tcPr>
            <w:tcW w:w="3596" w:type="dxa"/>
            <w:vAlign w:val="center"/>
          </w:tcPr>
          <w:p w:rsidR="003927F1" w:rsidRPr="00E51BED" w:rsidRDefault="003927F1" w:rsidP="005C5B50">
            <w:pPr>
              <w:spacing w:line="200" w:lineRule="exact"/>
              <w:ind w:rightChars="-348" w:right="-835"/>
              <w:jc w:val="both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JCR</w:t>
            </w:r>
            <w:r w:rsidRPr="00E51BED">
              <w:rPr>
                <w:rFonts w:eastAsia="標楷體" w:hint="eastAsia"/>
                <w:color w:val="000000"/>
                <w:szCs w:val="24"/>
              </w:rPr>
              <w:t>領域百分比介於</w:t>
            </w:r>
            <w:r w:rsidRPr="00E51BED">
              <w:rPr>
                <w:rFonts w:eastAsia="標楷體"/>
                <w:color w:val="000000"/>
                <w:szCs w:val="24"/>
              </w:rPr>
              <w:t>10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％至</w:t>
            </w:r>
            <w:r w:rsidRPr="00E51BED">
              <w:rPr>
                <w:rFonts w:eastAsia="標楷體"/>
                <w:color w:val="000000"/>
                <w:szCs w:val="24"/>
              </w:rPr>
              <w:t>25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</w:t>
            </w:r>
          </w:p>
        </w:tc>
      </w:tr>
      <w:tr w:rsidR="003927F1" w:rsidRPr="00E51BED" w:rsidTr="005C5B50">
        <w:trPr>
          <w:cantSplit/>
          <w:trHeight w:hRule="exact" w:val="284"/>
          <w:jc w:val="center"/>
        </w:trPr>
        <w:tc>
          <w:tcPr>
            <w:tcW w:w="1154" w:type="dxa"/>
            <w:vAlign w:val="center"/>
          </w:tcPr>
          <w:p w:rsidR="003927F1" w:rsidRPr="00E51BED" w:rsidRDefault="003927F1" w:rsidP="005C5B50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B</w:t>
            </w:r>
          </w:p>
        </w:tc>
        <w:tc>
          <w:tcPr>
            <w:tcW w:w="3596" w:type="dxa"/>
            <w:vAlign w:val="center"/>
          </w:tcPr>
          <w:p w:rsidR="003927F1" w:rsidRPr="00E51BED" w:rsidRDefault="003927F1" w:rsidP="005C5B50">
            <w:pPr>
              <w:spacing w:line="200" w:lineRule="exact"/>
              <w:ind w:rightChars="-348" w:right="-835"/>
              <w:jc w:val="both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JCR</w:t>
            </w:r>
            <w:r w:rsidRPr="00E51BED">
              <w:rPr>
                <w:rFonts w:eastAsia="標楷體" w:hint="eastAsia"/>
                <w:color w:val="000000"/>
                <w:szCs w:val="24"/>
              </w:rPr>
              <w:t>領域百分比介於</w:t>
            </w:r>
            <w:r w:rsidRPr="00E51BED">
              <w:rPr>
                <w:rFonts w:eastAsia="標楷體"/>
                <w:color w:val="000000"/>
                <w:szCs w:val="24"/>
              </w:rPr>
              <w:t>25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％至</w:t>
            </w:r>
            <w:r w:rsidRPr="00E51BED">
              <w:rPr>
                <w:rFonts w:eastAsia="標楷體"/>
                <w:color w:val="000000"/>
                <w:szCs w:val="24"/>
              </w:rPr>
              <w:t>75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</w:t>
            </w:r>
          </w:p>
        </w:tc>
      </w:tr>
      <w:tr w:rsidR="003927F1" w:rsidRPr="00E51BED" w:rsidTr="005C5B50">
        <w:trPr>
          <w:cantSplit/>
          <w:trHeight w:hRule="exact" w:val="284"/>
          <w:jc w:val="center"/>
        </w:trPr>
        <w:tc>
          <w:tcPr>
            <w:tcW w:w="1154" w:type="dxa"/>
            <w:vAlign w:val="center"/>
          </w:tcPr>
          <w:p w:rsidR="003927F1" w:rsidRPr="00E51BED" w:rsidRDefault="003927F1" w:rsidP="005C5B50">
            <w:pPr>
              <w:spacing w:line="20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C</w:t>
            </w:r>
          </w:p>
        </w:tc>
        <w:tc>
          <w:tcPr>
            <w:tcW w:w="3596" w:type="dxa"/>
            <w:vAlign w:val="center"/>
          </w:tcPr>
          <w:p w:rsidR="003927F1" w:rsidRPr="00E51BED" w:rsidRDefault="003927F1" w:rsidP="005C5B50">
            <w:pPr>
              <w:spacing w:line="200" w:lineRule="exact"/>
              <w:ind w:rightChars="-348" w:right="-835"/>
              <w:jc w:val="both"/>
              <w:rPr>
                <w:rFonts w:eastAsia="標楷體"/>
                <w:color w:val="000000"/>
                <w:szCs w:val="24"/>
              </w:rPr>
            </w:pPr>
            <w:r w:rsidRPr="00E51BED">
              <w:rPr>
                <w:rFonts w:eastAsia="標楷體"/>
                <w:color w:val="000000"/>
                <w:szCs w:val="24"/>
              </w:rPr>
              <w:t>JCR</w:t>
            </w:r>
            <w:r w:rsidRPr="00E51BED">
              <w:rPr>
                <w:rFonts w:eastAsia="標楷體" w:hint="eastAsia"/>
                <w:color w:val="000000"/>
                <w:szCs w:val="24"/>
              </w:rPr>
              <w:t>領域百分比大於</w:t>
            </w:r>
            <w:r w:rsidRPr="00E51BED">
              <w:rPr>
                <w:rFonts w:eastAsia="標楷體"/>
                <w:color w:val="000000"/>
                <w:szCs w:val="24"/>
              </w:rPr>
              <w:t>75</w:t>
            </w:r>
            <w:r w:rsidRPr="00E51BED">
              <w:rPr>
                <w:rFonts w:eastAsia="標楷體" w:hint="eastAsia"/>
                <w:color w:val="000000"/>
                <w:szCs w:val="24"/>
              </w:rPr>
              <w:t>％</w:t>
            </w:r>
          </w:p>
        </w:tc>
      </w:tr>
    </w:tbl>
    <w:p w:rsidR="003927F1" w:rsidRPr="00E51BED" w:rsidRDefault="003927F1" w:rsidP="003927F1">
      <w:pPr>
        <w:spacing w:line="360" w:lineRule="exact"/>
        <w:ind w:leftChars="443" w:left="1301" w:hangingChars="99" w:hanging="238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⒝</w:t>
      </w:r>
      <w:r w:rsidRPr="00E51BED">
        <w:rPr>
          <w:rFonts w:eastAsia="標楷體" w:hint="eastAsia"/>
          <w:color w:val="000000"/>
          <w:szCs w:val="24"/>
        </w:rPr>
        <w:t>由該年度</w:t>
      </w:r>
      <w:r w:rsidRPr="00E51BED">
        <w:rPr>
          <w:rFonts w:eastAsia="標楷體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任一單獨領域（</w:t>
      </w:r>
      <w:r w:rsidRPr="00E51BED">
        <w:rPr>
          <w:rFonts w:eastAsia="標楷體"/>
          <w:color w:val="000000"/>
          <w:szCs w:val="24"/>
        </w:rPr>
        <w:t>subject</w:t>
      </w:r>
      <w:r w:rsidRPr="00E51BED">
        <w:rPr>
          <w:rFonts w:eastAsia="標楷體" w:hint="eastAsia"/>
          <w:color w:val="000000"/>
          <w:szCs w:val="24"/>
        </w:rPr>
        <w:t>）中之百分比，認定為該期刊之排名百分比。例如：</w:t>
      </w:r>
      <w:r w:rsidRPr="00E51BED">
        <w:rPr>
          <w:rFonts w:eastAsia="標楷體"/>
          <w:color w:val="000000"/>
          <w:szCs w:val="24"/>
        </w:rPr>
        <w:t>2001</w:t>
      </w:r>
      <w:r w:rsidRPr="00E51BED">
        <w:rPr>
          <w:rFonts w:eastAsia="標楷體" w:hint="eastAsia"/>
          <w:color w:val="000000"/>
          <w:szCs w:val="24"/>
        </w:rPr>
        <w:t>年版</w:t>
      </w:r>
      <w:r w:rsidRPr="00E51BED">
        <w:rPr>
          <w:rFonts w:eastAsia="標楷體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為</w:t>
      </w:r>
      <w:r w:rsidRPr="00E51BED">
        <w:rPr>
          <w:rFonts w:eastAsia="標楷體"/>
          <w:color w:val="000000"/>
          <w:szCs w:val="24"/>
        </w:rPr>
        <w:t>170</w:t>
      </w:r>
      <w:r w:rsidRPr="00E51BED">
        <w:rPr>
          <w:rFonts w:eastAsia="標楷體" w:hint="eastAsia"/>
          <w:color w:val="000000"/>
          <w:szCs w:val="24"/>
        </w:rPr>
        <w:t>種領域，期刊</w:t>
      </w:r>
      <w:r w:rsidRPr="00E51BED">
        <w:rPr>
          <w:rFonts w:eastAsia="標楷體" w:hint="eastAsia"/>
          <w:color w:val="000000"/>
          <w:szCs w:val="24"/>
        </w:rPr>
        <w:t xml:space="preserve"> </w:t>
      </w:r>
      <w:r w:rsidRPr="00E51BED">
        <w:rPr>
          <w:rFonts w:eastAsia="標楷體"/>
          <w:color w:val="000000"/>
          <w:szCs w:val="24"/>
        </w:rPr>
        <w:t>“Metal Mater Trans A” </w:t>
      </w:r>
      <w:r w:rsidRPr="00E51BED">
        <w:rPr>
          <w:rFonts w:eastAsia="標楷體" w:hint="eastAsia"/>
          <w:color w:val="000000"/>
          <w:szCs w:val="24"/>
        </w:rPr>
        <w:t>在領域</w:t>
      </w:r>
      <w:r w:rsidRPr="00E51BED">
        <w:rPr>
          <w:rFonts w:eastAsia="標楷體"/>
          <w:color w:val="000000"/>
          <w:szCs w:val="24"/>
        </w:rPr>
        <w:t>Materials Science, Multidisciplinary</w:t>
      </w:r>
      <w:r w:rsidRPr="00E51BED">
        <w:rPr>
          <w:rFonts w:eastAsia="標楷體" w:hint="eastAsia"/>
          <w:color w:val="000000"/>
          <w:szCs w:val="24"/>
        </w:rPr>
        <w:t>領域中排名為</w:t>
      </w:r>
      <w:r w:rsidRPr="00E51BED">
        <w:rPr>
          <w:rFonts w:eastAsia="標楷體"/>
          <w:color w:val="000000"/>
          <w:szCs w:val="24"/>
        </w:rPr>
        <w:t>31/170=0.18</w:t>
      </w:r>
      <w:r w:rsidRPr="00E51BED">
        <w:rPr>
          <w:rFonts w:eastAsia="標楷體" w:hint="eastAsia"/>
          <w:color w:val="000000"/>
          <w:szCs w:val="24"/>
        </w:rPr>
        <w:t>。在領域</w:t>
      </w:r>
      <w:r w:rsidRPr="00E51BED">
        <w:rPr>
          <w:rFonts w:eastAsia="標楷體"/>
          <w:color w:val="000000"/>
          <w:szCs w:val="24"/>
        </w:rPr>
        <w:t>Metallurgy &amp; Metallurgical Engineering</w:t>
      </w:r>
      <w:r w:rsidRPr="00E51BED">
        <w:rPr>
          <w:rFonts w:eastAsia="標楷體" w:hint="eastAsia"/>
          <w:color w:val="000000"/>
          <w:szCs w:val="24"/>
        </w:rPr>
        <w:t>領域中排名為</w:t>
      </w:r>
      <w:r w:rsidRPr="00E51BED">
        <w:rPr>
          <w:rFonts w:eastAsia="標楷體"/>
          <w:color w:val="000000"/>
          <w:szCs w:val="24"/>
        </w:rPr>
        <w:t>4/67=0.06</w:t>
      </w:r>
      <w:r w:rsidRPr="00E51BED">
        <w:rPr>
          <w:rFonts w:eastAsia="標楷體" w:hint="eastAsia"/>
          <w:color w:val="000000"/>
          <w:szCs w:val="24"/>
        </w:rPr>
        <w:t>。則期刊</w:t>
      </w:r>
      <w:r w:rsidRPr="00E51BED">
        <w:rPr>
          <w:rFonts w:eastAsia="標楷體"/>
          <w:color w:val="000000"/>
          <w:szCs w:val="24"/>
        </w:rPr>
        <w:t>”Metal Mater Trans A” </w:t>
      </w:r>
      <w:r w:rsidRPr="00E51BED">
        <w:rPr>
          <w:rFonts w:eastAsia="標楷體" w:hint="eastAsia"/>
          <w:color w:val="000000"/>
          <w:szCs w:val="24"/>
        </w:rPr>
        <w:t>排名百分比得認定為</w:t>
      </w:r>
      <w:r w:rsidRPr="00E51BED">
        <w:rPr>
          <w:rFonts w:eastAsia="標楷體"/>
          <w:color w:val="000000"/>
          <w:szCs w:val="24"/>
        </w:rPr>
        <w:t>6</w:t>
      </w:r>
      <w:r w:rsidRPr="00E51BED">
        <w:rPr>
          <w:rFonts w:ascii="標楷體" w:eastAsia="標楷體" w:hAnsi="標楷體" w:hint="eastAsia"/>
          <w:color w:val="000000"/>
          <w:szCs w:val="24"/>
        </w:rPr>
        <w:t>％</w:t>
      </w:r>
      <w:r w:rsidRPr="00E51BED">
        <w:rPr>
          <w:rFonts w:eastAsia="標楷體" w:hint="eastAsia"/>
          <w:color w:val="000000"/>
          <w:szCs w:val="24"/>
        </w:rPr>
        <w:t>。</w:t>
      </w:r>
    </w:p>
    <w:p w:rsidR="003927F1" w:rsidRPr="00E51BED" w:rsidRDefault="003927F1" w:rsidP="003927F1">
      <w:pPr>
        <w:spacing w:line="360" w:lineRule="exact"/>
        <w:ind w:leftChars="308" w:left="739" w:firstLineChars="140" w:firstLine="336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⒞</w:t>
      </w:r>
      <w:r w:rsidRPr="00E51BED">
        <w:rPr>
          <w:rFonts w:eastAsia="標楷體" w:hint="eastAsia"/>
          <w:color w:val="000000"/>
          <w:szCs w:val="24"/>
        </w:rPr>
        <w:t>若該年度之</w:t>
      </w:r>
      <w:r w:rsidRPr="00E51BED">
        <w:rPr>
          <w:rFonts w:eastAsia="標楷體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期刊排名未公佈之前（通常為每年七月），則以前一年度為準。</w:t>
      </w:r>
    </w:p>
    <w:p w:rsidR="003927F1" w:rsidRPr="00E51BED" w:rsidRDefault="003927F1" w:rsidP="003927F1">
      <w:pPr>
        <w:spacing w:line="360" w:lineRule="exact"/>
        <w:ind w:leftChars="454" w:left="1316" w:hangingChars="94" w:hanging="226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⒟</w:t>
      </w:r>
      <w:r w:rsidRPr="00E51BED">
        <w:rPr>
          <w:rFonts w:eastAsia="標楷體" w:hint="eastAsia"/>
          <w:color w:val="000000"/>
          <w:szCs w:val="24"/>
        </w:rPr>
        <w:t>該期刊之排名百分比分母即</w:t>
      </w:r>
      <w:r w:rsidRPr="00E51BED">
        <w:rPr>
          <w:rFonts w:eastAsia="標楷體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中任一單獨領域（</w:t>
      </w:r>
      <w:r w:rsidRPr="00E51BED">
        <w:rPr>
          <w:rFonts w:eastAsia="標楷體"/>
          <w:color w:val="000000"/>
          <w:szCs w:val="24"/>
        </w:rPr>
        <w:t>subject</w:t>
      </w:r>
      <w:r w:rsidRPr="00E51BED">
        <w:rPr>
          <w:rFonts w:eastAsia="標楷體" w:hint="eastAsia"/>
          <w:color w:val="000000"/>
          <w:szCs w:val="24"/>
        </w:rPr>
        <w:t>）中所包含的期刊數，分母之最低數目則無限制。例如在</w:t>
      </w:r>
      <w:r w:rsidRPr="00E51BED">
        <w:rPr>
          <w:rFonts w:eastAsia="標楷體"/>
          <w:color w:val="000000"/>
          <w:szCs w:val="24"/>
        </w:rPr>
        <w:t>Materials Science, Multidisciplinary</w:t>
      </w:r>
      <w:r w:rsidRPr="00E51BED">
        <w:rPr>
          <w:rFonts w:eastAsia="標楷體" w:hint="eastAsia"/>
          <w:color w:val="000000"/>
          <w:szCs w:val="24"/>
        </w:rPr>
        <w:t>領域中有</w:t>
      </w:r>
      <w:r w:rsidRPr="00E51BED">
        <w:rPr>
          <w:rFonts w:eastAsia="標楷體"/>
          <w:color w:val="000000"/>
          <w:szCs w:val="24"/>
        </w:rPr>
        <w:t>170</w:t>
      </w:r>
      <w:r w:rsidRPr="00E51BED">
        <w:rPr>
          <w:rFonts w:eastAsia="標楷體" w:hint="eastAsia"/>
          <w:color w:val="000000"/>
          <w:szCs w:val="24"/>
        </w:rPr>
        <w:t>種期刊，</w:t>
      </w:r>
      <w:r w:rsidRPr="00E51BED">
        <w:rPr>
          <w:rFonts w:eastAsia="標楷體" w:hint="eastAsia"/>
          <w:color w:val="000000"/>
          <w:szCs w:val="24"/>
        </w:rPr>
        <w:lastRenderedPageBreak/>
        <w:t>故分母為</w:t>
      </w:r>
      <w:r w:rsidRPr="00E51BED">
        <w:rPr>
          <w:rFonts w:eastAsia="標楷體"/>
          <w:color w:val="000000"/>
          <w:szCs w:val="24"/>
        </w:rPr>
        <w:t>170</w:t>
      </w:r>
      <w:r w:rsidRPr="00E51BED">
        <w:rPr>
          <w:rFonts w:eastAsia="標楷體" w:hint="eastAsia"/>
          <w:color w:val="000000"/>
          <w:szCs w:val="24"/>
        </w:rPr>
        <w:t>，</w:t>
      </w:r>
      <w:r w:rsidRPr="00E51BED">
        <w:rPr>
          <w:rFonts w:eastAsia="標楷體"/>
          <w:color w:val="000000"/>
          <w:szCs w:val="24"/>
        </w:rPr>
        <w:t>Materials Science, Composites</w:t>
      </w:r>
      <w:r w:rsidRPr="00E51BED">
        <w:rPr>
          <w:rFonts w:eastAsia="標楷體" w:hint="eastAsia"/>
          <w:color w:val="000000"/>
          <w:szCs w:val="24"/>
        </w:rPr>
        <w:t>領域中有</w:t>
      </w:r>
      <w:r w:rsidRPr="00E51BED">
        <w:rPr>
          <w:rFonts w:eastAsia="標楷體"/>
          <w:color w:val="000000"/>
          <w:szCs w:val="24"/>
        </w:rPr>
        <w:t>19</w:t>
      </w:r>
      <w:r w:rsidRPr="00E51BED">
        <w:rPr>
          <w:rFonts w:eastAsia="標楷體" w:hint="eastAsia"/>
          <w:color w:val="000000"/>
          <w:szCs w:val="24"/>
        </w:rPr>
        <w:t>種期刊，故分母為</w:t>
      </w:r>
      <w:r w:rsidRPr="00E51BED">
        <w:rPr>
          <w:rFonts w:eastAsia="標楷體"/>
          <w:color w:val="000000"/>
          <w:szCs w:val="24"/>
        </w:rPr>
        <w:t>19</w:t>
      </w:r>
      <w:r w:rsidRPr="00E51BED">
        <w:rPr>
          <w:rFonts w:eastAsia="標楷體" w:hint="eastAsia"/>
          <w:color w:val="000000"/>
          <w:szCs w:val="24"/>
        </w:rPr>
        <w:t>。</w:t>
      </w:r>
    </w:p>
    <w:p w:rsidR="003927F1" w:rsidRPr="00E51BED" w:rsidRDefault="003927F1" w:rsidP="003927F1">
      <w:pPr>
        <w:spacing w:line="360" w:lineRule="exact"/>
        <w:ind w:leftChars="443" w:left="1272" w:hangingChars="87" w:hanging="209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⒠</w:t>
      </w:r>
      <w:r w:rsidRPr="00E51BED">
        <w:rPr>
          <w:rFonts w:eastAsia="標楷體" w:hint="eastAsia"/>
          <w:color w:val="000000"/>
          <w:szCs w:val="24"/>
        </w:rPr>
        <w:t>學術小組每年影印</w:t>
      </w:r>
      <w:r w:rsidRPr="00E51BED">
        <w:rPr>
          <w:rFonts w:eastAsia="標楷體" w:hint="eastAsia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所有單獨領域，並裝訂成冊，置於系辦公室，以之為期刊之排名百分比認定依據。</w:t>
      </w:r>
    </w:p>
    <w:p w:rsidR="003927F1" w:rsidRPr="00E51BED" w:rsidRDefault="003927F1" w:rsidP="003927F1">
      <w:pPr>
        <w:spacing w:line="360" w:lineRule="exact"/>
        <w:ind w:leftChars="308" w:left="739" w:firstLineChars="140" w:firstLine="336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⒡</w:t>
      </w:r>
      <w:r w:rsidRPr="00E51BED">
        <w:rPr>
          <w:rFonts w:eastAsia="標楷體" w:hint="eastAsia"/>
          <w:color w:val="000000"/>
          <w:szCs w:val="24"/>
        </w:rPr>
        <w:t>通訊作者與第一作者之重要性相等（積分相同）。</w:t>
      </w:r>
    </w:p>
    <w:p w:rsidR="003927F1" w:rsidRPr="00E51BED" w:rsidRDefault="003927F1" w:rsidP="003927F1">
      <w:pPr>
        <w:spacing w:line="360" w:lineRule="exact"/>
        <w:ind w:leftChars="454" w:left="1316" w:hangingChars="94" w:hanging="226"/>
        <w:jc w:val="both"/>
        <w:rPr>
          <w:rFonts w:eastAsia="標楷體"/>
          <w:color w:val="000000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⒢</w:t>
      </w:r>
      <w:r w:rsidRPr="00E51BED">
        <w:rPr>
          <w:rFonts w:eastAsia="標楷體" w:hint="eastAsia"/>
          <w:color w:val="000000"/>
          <w:szCs w:val="24"/>
        </w:rPr>
        <w:t>2008</w:t>
      </w:r>
      <w:r w:rsidRPr="00E51BED">
        <w:rPr>
          <w:rFonts w:eastAsia="標楷體" w:hint="eastAsia"/>
          <w:color w:val="000000"/>
          <w:szCs w:val="24"/>
        </w:rPr>
        <w:t>年</w:t>
      </w:r>
      <w:r w:rsidRPr="00E51BED">
        <w:rPr>
          <w:rFonts w:eastAsia="標楷體" w:hint="eastAsia"/>
          <w:color w:val="000000"/>
          <w:szCs w:val="24"/>
        </w:rPr>
        <w:t>8</w:t>
      </w:r>
      <w:r w:rsidRPr="00E51BED">
        <w:rPr>
          <w:rFonts w:eastAsia="標楷體" w:hint="eastAsia"/>
          <w:color w:val="000000"/>
          <w:szCs w:val="24"/>
        </w:rPr>
        <w:t>月（含）以前，所發表之非屬</w:t>
      </w:r>
      <w:r w:rsidRPr="00E51BED">
        <w:rPr>
          <w:rFonts w:eastAsia="標楷體" w:hint="eastAsia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之其他著作（專利、</w:t>
      </w:r>
      <w:r w:rsidRPr="00E51BED">
        <w:rPr>
          <w:rFonts w:eastAsia="標楷體" w:hint="eastAsia"/>
          <w:color w:val="000000"/>
          <w:szCs w:val="24"/>
        </w:rPr>
        <w:t>EI</w:t>
      </w:r>
      <w:r w:rsidRPr="00E51BED">
        <w:rPr>
          <w:rFonts w:eastAsia="標楷體" w:hint="eastAsia"/>
          <w:color w:val="000000"/>
          <w:szCs w:val="24"/>
        </w:rPr>
        <w:t>論文、及未列入</w:t>
      </w:r>
      <w:r w:rsidRPr="00E51BED">
        <w:rPr>
          <w:rFonts w:eastAsia="標楷體" w:hint="eastAsia"/>
          <w:color w:val="000000"/>
          <w:szCs w:val="24"/>
        </w:rPr>
        <w:t>EI or JCR</w:t>
      </w:r>
      <w:r w:rsidRPr="00E51BED">
        <w:rPr>
          <w:rFonts w:eastAsia="標楷體" w:hint="eastAsia"/>
          <w:color w:val="000000"/>
          <w:szCs w:val="24"/>
        </w:rPr>
        <w:t>論文、會議論文、書籍章節等之評定方法），按照本系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1992"/>
        </w:smartTagPr>
        <w:r w:rsidRPr="00E51BED">
          <w:rPr>
            <w:rFonts w:eastAsia="標楷體" w:hint="eastAsia"/>
            <w:color w:val="000000"/>
            <w:szCs w:val="24"/>
          </w:rPr>
          <w:t>92</w:t>
        </w:r>
        <w:r w:rsidRPr="00E51BED">
          <w:rPr>
            <w:rFonts w:eastAsia="標楷體" w:hint="eastAsia"/>
            <w:color w:val="000000"/>
            <w:szCs w:val="24"/>
          </w:rPr>
          <w:t>年</w:t>
        </w:r>
        <w:r w:rsidRPr="00E51BED">
          <w:rPr>
            <w:rFonts w:eastAsia="標楷體" w:hint="eastAsia"/>
            <w:color w:val="000000"/>
            <w:szCs w:val="24"/>
          </w:rPr>
          <w:t>5</w:t>
        </w:r>
        <w:r w:rsidRPr="00E51BED">
          <w:rPr>
            <w:rFonts w:eastAsia="標楷體" w:hint="eastAsia"/>
            <w:color w:val="000000"/>
            <w:szCs w:val="24"/>
          </w:rPr>
          <w:t>月</w:t>
        </w:r>
        <w:r w:rsidRPr="00E51BED">
          <w:rPr>
            <w:rFonts w:eastAsia="標楷體" w:hint="eastAsia"/>
            <w:color w:val="000000"/>
            <w:szCs w:val="24"/>
          </w:rPr>
          <w:t>12</w:t>
        </w:r>
        <w:r w:rsidRPr="00E51BED">
          <w:rPr>
            <w:rFonts w:eastAsia="標楷體" w:hint="eastAsia"/>
            <w:color w:val="000000"/>
            <w:szCs w:val="24"/>
          </w:rPr>
          <w:t>日</w:t>
        </w:r>
      </w:smartTag>
      <w:r w:rsidRPr="00E51BED">
        <w:rPr>
          <w:rFonts w:eastAsia="標楷體" w:hint="eastAsia"/>
          <w:color w:val="000000"/>
          <w:szCs w:val="24"/>
        </w:rPr>
        <w:t>系務會議修正通過之教師升等辦法中的期刊等級認定。</w:t>
      </w:r>
      <w:r w:rsidRPr="00E51BED">
        <w:rPr>
          <w:rFonts w:eastAsia="標楷體" w:hint="eastAsia"/>
          <w:color w:val="000000"/>
          <w:szCs w:val="24"/>
        </w:rPr>
        <w:t>2008</w:t>
      </w:r>
      <w:r w:rsidRPr="00E51BED">
        <w:rPr>
          <w:rFonts w:eastAsia="標楷體" w:hint="eastAsia"/>
          <w:color w:val="000000"/>
          <w:szCs w:val="24"/>
        </w:rPr>
        <w:t>年</w:t>
      </w:r>
      <w:r w:rsidRPr="00E51BED">
        <w:rPr>
          <w:rFonts w:eastAsia="標楷體" w:hint="eastAsia"/>
          <w:color w:val="000000"/>
          <w:szCs w:val="24"/>
        </w:rPr>
        <w:t>9</w:t>
      </w:r>
      <w:r w:rsidRPr="00E51BED">
        <w:rPr>
          <w:rFonts w:eastAsia="標楷體" w:hint="eastAsia"/>
          <w:color w:val="000000"/>
          <w:szCs w:val="24"/>
        </w:rPr>
        <w:t>月（含）後所發表之非屬</w:t>
      </w:r>
      <w:r w:rsidRPr="00E51BED">
        <w:rPr>
          <w:rFonts w:eastAsia="標楷體" w:hint="eastAsia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之其他著作，不再接受為升等論文。</w:t>
      </w:r>
    </w:p>
    <w:p w:rsidR="003927F1" w:rsidRPr="00E51BED" w:rsidRDefault="003927F1" w:rsidP="003927F1">
      <w:pPr>
        <w:spacing w:line="360" w:lineRule="exact"/>
        <w:ind w:leftChars="308" w:left="739" w:firstLineChars="140" w:firstLine="336"/>
        <w:jc w:val="both"/>
        <w:rPr>
          <w:rFonts w:eastAsia="標楷體"/>
          <w:szCs w:val="24"/>
        </w:rPr>
      </w:pPr>
      <w:r w:rsidRPr="00E51BED">
        <w:rPr>
          <w:rFonts w:eastAsia="Arial Unicode MS" w:cs="Arial Unicode MS" w:hint="eastAsia"/>
          <w:color w:val="000000"/>
          <w:szCs w:val="24"/>
        </w:rPr>
        <w:t>⒣</w:t>
      </w:r>
      <w:r w:rsidRPr="00E51BED">
        <w:rPr>
          <w:rFonts w:eastAsia="標楷體" w:hint="eastAsia"/>
          <w:color w:val="000000"/>
          <w:szCs w:val="24"/>
        </w:rPr>
        <w:t>所有於</w:t>
      </w:r>
      <w:r w:rsidRPr="00E51BED">
        <w:rPr>
          <w:rFonts w:eastAsia="標楷體" w:hint="eastAsia"/>
          <w:color w:val="000000"/>
          <w:szCs w:val="24"/>
        </w:rPr>
        <w:t>2004</w:t>
      </w:r>
      <w:r w:rsidRPr="00E51BED">
        <w:rPr>
          <w:rFonts w:eastAsia="標楷體" w:hint="eastAsia"/>
          <w:color w:val="000000"/>
          <w:szCs w:val="24"/>
        </w:rPr>
        <w:t>年</w:t>
      </w:r>
      <w:r w:rsidRPr="00E51BED">
        <w:rPr>
          <w:rFonts w:eastAsia="標楷體" w:hint="eastAsia"/>
          <w:color w:val="000000"/>
          <w:szCs w:val="24"/>
        </w:rPr>
        <w:t>1</w:t>
      </w:r>
      <w:r w:rsidRPr="00E51BED">
        <w:rPr>
          <w:rFonts w:eastAsia="標楷體" w:hint="eastAsia"/>
          <w:color w:val="000000"/>
          <w:szCs w:val="24"/>
        </w:rPr>
        <w:t>月（含）之後刊出之</w:t>
      </w:r>
      <w:r w:rsidRPr="00E51BED">
        <w:rPr>
          <w:rFonts w:eastAsia="標楷體" w:hint="eastAsia"/>
          <w:color w:val="000000"/>
          <w:szCs w:val="24"/>
        </w:rPr>
        <w:t>JCR</w:t>
      </w:r>
      <w:r w:rsidRPr="00E51BED">
        <w:rPr>
          <w:rFonts w:eastAsia="標楷體" w:hint="eastAsia"/>
          <w:color w:val="000000"/>
          <w:szCs w:val="24"/>
        </w:rPr>
        <w:t>論文，其等級依本辦法評定之。</w:t>
      </w:r>
    </w:p>
    <w:p w:rsidR="003927F1" w:rsidRPr="00E51BED" w:rsidRDefault="003927F1" w:rsidP="003927F1">
      <w:pPr>
        <w:spacing w:line="360" w:lineRule="exact"/>
        <w:ind w:leftChars="258" w:left="619" w:firstLineChars="92" w:firstLine="221"/>
        <w:jc w:val="both"/>
        <w:rPr>
          <w:rFonts w:eastAsia="標楷體"/>
          <w:szCs w:val="24"/>
        </w:rPr>
      </w:pPr>
      <w:r w:rsidRPr="00E51BED">
        <w:rPr>
          <w:rFonts w:eastAsia="Arial Unicode MS" w:cs="Arial Unicode MS" w:hint="eastAsia"/>
          <w:szCs w:val="24"/>
        </w:rPr>
        <w:t>⑵</w:t>
      </w:r>
      <w:r w:rsidRPr="00E51BED">
        <w:rPr>
          <w:rFonts w:eastAsia="標楷體" w:hint="eastAsia"/>
          <w:szCs w:val="24"/>
        </w:rPr>
        <w:t>會議論文：會議論文分為二級評分，最高計</w:t>
      </w:r>
      <w:r w:rsidRPr="00E51BED">
        <w:rPr>
          <w:rFonts w:eastAsia="標楷體" w:hint="eastAsia"/>
          <w:szCs w:val="24"/>
        </w:rPr>
        <w:t>4</w:t>
      </w:r>
      <w:r w:rsidRPr="00E51BED">
        <w:rPr>
          <w:rFonts w:eastAsia="標楷體" w:hint="eastAsia"/>
          <w:szCs w:val="24"/>
        </w:rPr>
        <w:t>分。</w:t>
      </w:r>
    </w:p>
    <w:p w:rsidR="003927F1" w:rsidRPr="00E51BED" w:rsidRDefault="003927F1" w:rsidP="003927F1">
      <w:pPr>
        <w:pStyle w:val="a5"/>
        <w:snapToGrid w:val="0"/>
        <w:spacing w:line="360" w:lineRule="exact"/>
        <w:ind w:left="480" w:firstLine="525"/>
        <w:jc w:val="both"/>
        <w:rPr>
          <w:rFonts w:ascii="Times New Roman" w:eastAsia="標楷體" w:hAnsi="Times New Roman"/>
          <w:szCs w:val="24"/>
        </w:rPr>
      </w:pPr>
      <w:r w:rsidRPr="00E51BED">
        <w:rPr>
          <w:rFonts w:ascii="Times New Roman" w:eastAsia="Arial Unicode MS" w:hAnsi="Times New Roman" w:cs="Arial Unicode MS" w:hint="eastAsia"/>
          <w:szCs w:val="24"/>
        </w:rPr>
        <w:t>Ⓐ</w:t>
      </w:r>
      <w:r w:rsidRPr="00E51BED">
        <w:rPr>
          <w:rFonts w:ascii="Times New Roman" w:eastAsia="標楷體" w:hAnsi="Times New Roman" w:hint="eastAsia"/>
          <w:szCs w:val="24"/>
        </w:rPr>
        <w:t>國際性會議：完整論文或擴大摘要計</w:t>
      </w:r>
      <w:r w:rsidRPr="00E51BED">
        <w:rPr>
          <w:rFonts w:ascii="Times New Roman" w:eastAsia="標楷體" w:hAnsi="Times New Roman" w:hint="eastAsia"/>
          <w:szCs w:val="24"/>
        </w:rPr>
        <w:t>0</w:t>
      </w:r>
      <w:r w:rsidRPr="00E51BED">
        <w:rPr>
          <w:rFonts w:ascii="Times New Roman" w:eastAsia="標楷體" w:hAnsi="Times New Roman"/>
          <w:szCs w:val="24"/>
        </w:rPr>
        <w:t>.</w:t>
      </w:r>
      <w:r w:rsidRPr="00E51BED">
        <w:rPr>
          <w:rFonts w:ascii="Times New Roman" w:eastAsia="標楷體" w:hAnsi="Times New Roman" w:hint="eastAsia"/>
          <w:szCs w:val="24"/>
        </w:rPr>
        <w:t>5</w:t>
      </w:r>
      <w:r w:rsidRPr="00E51BED">
        <w:rPr>
          <w:rFonts w:ascii="Times New Roman" w:eastAsia="標楷體" w:hAnsi="Times New Roman" w:hint="eastAsia"/>
          <w:szCs w:val="24"/>
        </w:rPr>
        <w:t>分。</w:t>
      </w:r>
    </w:p>
    <w:p w:rsidR="003927F1" w:rsidRPr="00E51BED" w:rsidRDefault="003927F1" w:rsidP="003927F1">
      <w:pPr>
        <w:pStyle w:val="a5"/>
        <w:snapToGrid w:val="0"/>
        <w:spacing w:line="360" w:lineRule="exact"/>
        <w:ind w:left="480" w:firstLine="539"/>
        <w:jc w:val="both"/>
        <w:rPr>
          <w:rFonts w:ascii="Times New Roman" w:eastAsia="標楷體" w:hAnsi="Times New Roman"/>
          <w:szCs w:val="24"/>
        </w:rPr>
      </w:pPr>
      <w:r w:rsidRPr="00E51BED">
        <w:rPr>
          <w:rFonts w:ascii="Times New Roman" w:eastAsia="Arial Unicode MS" w:hAnsi="Times New Roman" w:cs="Arial Unicode MS" w:hint="eastAsia"/>
          <w:szCs w:val="24"/>
        </w:rPr>
        <w:t>Ⓑ</w:t>
      </w:r>
      <w:r w:rsidRPr="00E51BED">
        <w:rPr>
          <w:rFonts w:ascii="Times New Roman" w:eastAsia="標楷體" w:hAnsi="Times New Roman" w:hint="eastAsia"/>
          <w:szCs w:val="24"/>
        </w:rPr>
        <w:t>區域性會議：完整論文或擴大摘要計</w:t>
      </w:r>
      <w:r w:rsidRPr="00E51BED">
        <w:rPr>
          <w:rFonts w:ascii="Times New Roman" w:eastAsia="標楷體" w:hAnsi="Times New Roman" w:hint="eastAsia"/>
          <w:szCs w:val="24"/>
        </w:rPr>
        <w:t>0.25</w:t>
      </w:r>
      <w:r w:rsidRPr="00E51BED">
        <w:rPr>
          <w:rFonts w:ascii="Times New Roman" w:eastAsia="標楷體" w:hAnsi="Times New Roman" w:hint="eastAsia"/>
          <w:szCs w:val="24"/>
        </w:rPr>
        <w:t>分。</w:t>
      </w:r>
    </w:p>
    <w:p w:rsidR="003927F1" w:rsidRPr="00E51BED" w:rsidRDefault="003927F1" w:rsidP="003927F1">
      <w:pPr>
        <w:spacing w:line="360" w:lineRule="exact"/>
        <w:ind w:left="134" w:firstLine="944"/>
        <w:jc w:val="both"/>
        <w:rPr>
          <w:rFonts w:eastAsia="標楷體"/>
          <w:szCs w:val="24"/>
        </w:rPr>
      </w:pPr>
      <w:r w:rsidRPr="00E51BED">
        <w:rPr>
          <w:rFonts w:eastAsia="標楷體" w:hint="eastAsia"/>
          <w:szCs w:val="24"/>
        </w:rPr>
        <w:t>參與會議僅口頭發表而無文章撰述者不予計分。</w:t>
      </w:r>
    </w:p>
    <w:p w:rsidR="003927F1" w:rsidRPr="00E51BED" w:rsidRDefault="003927F1" w:rsidP="003927F1">
      <w:pPr>
        <w:spacing w:line="360" w:lineRule="exact"/>
        <w:ind w:leftChars="56" w:left="134" w:firstLineChars="300" w:firstLine="720"/>
        <w:jc w:val="both"/>
        <w:rPr>
          <w:rFonts w:eastAsia="標楷體"/>
          <w:szCs w:val="24"/>
        </w:rPr>
      </w:pPr>
      <w:r w:rsidRPr="00E51BED">
        <w:rPr>
          <w:rFonts w:eastAsia="Arial Unicode MS" w:cs="Arial Unicode MS" w:hint="eastAsia"/>
          <w:szCs w:val="24"/>
        </w:rPr>
        <w:t>⑶</w:t>
      </w:r>
      <w:r w:rsidRPr="00E51BED">
        <w:rPr>
          <w:rFonts w:eastAsia="標楷體" w:hint="eastAsia"/>
          <w:szCs w:val="24"/>
        </w:rPr>
        <w:t>專利：分數由教評會討論決定。</w:t>
      </w:r>
    </w:p>
    <w:p w:rsidR="003927F1" w:rsidRPr="00E51BED" w:rsidRDefault="003927F1" w:rsidP="003927F1">
      <w:pPr>
        <w:spacing w:line="360" w:lineRule="exact"/>
        <w:ind w:leftChars="56" w:left="134" w:firstLineChars="300" w:firstLine="720"/>
        <w:jc w:val="both"/>
        <w:rPr>
          <w:rFonts w:eastAsia="標楷體"/>
          <w:szCs w:val="24"/>
        </w:rPr>
      </w:pPr>
      <w:r w:rsidRPr="00E51BED">
        <w:rPr>
          <w:rFonts w:eastAsia="Arial Unicode MS" w:cs="Arial Unicode MS" w:hint="eastAsia"/>
          <w:szCs w:val="24"/>
        </w:rPr>
        <w:t>⑷</w:t>
      </w:r>
      <w:r w:rsidRPr="00E51BED">
        <w:rPr>
          <w:rFonts w:eastAsia="標楷體" w:hint="eastAsia"/>
          <w:szCs w:val="24"/>
        </w:rPr>
        <w:t>書籍章節：分數由教評會討論決定。</w:t>
      </w:r>
    </w:p>
    <w:p w:rsidR="003927F1" w:rsidRPr="00E51BED" w:rsidRDefault="003927F1" w:rsidP="003927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320" w:lineRule="exact"/>
        <w:ind w:leftChars="196" w:left="470" w:firstLineChars="160" w:firstLine="384"/>
        <w:jc w:val="both"/>
        <w:textAlignment w:val="bottom"/>
        <w:rPr>
          <w:rFonts w:eastAsia="標楷體"/>
          <w:szCs w:val="24"/>
        </w:rPr>
      </w:pPr>
      <w:r w:rsidRPr="00E51BED">
        <w:rPr>
          <w:rFonts w:ascii="Arial Unicode MS" w:eastAsia="Arial Unicode MS" w:hAnsi="Arial Unicode MS" w:cs="Arial Unicode MS" w:hint="eastAsia"/>
          <w:szCs w:val="24"/>
        </w:rPr>
        <w:t>⑸</w:t>
      </w:r>
      <w:r w:rsidRPr="00E51BED">
        <w:rPr>
          <w:rFonts w:eastAsia="標楷體" w:hint="eastAsia"/>
          <w:szCs w:val="24"/>
        </w:rPr>
        <w:t>上述論文作者不只一人時，依下列方式計算：</w:t>
      </w:r>
    </w:p>
    <w:p w:rsidR="003927F1" w:rsidRPr="00E51BED" w:rsidRDefault="003927F1" w:rsidP="003927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320" w:lineRule="exact"/>
        <w:ind w:leftChars="188" w:left="451" w:firstLineChars="267" w:firstLine="641"/>
        <w:jc w:val="both"/>
        <w:textAlignment w:val="bottom"/>
        <w:rPr>
          <w:rFonts w:eastAsia="標楷體"/>
          <w:szCs w:val="24"/>
        </w:rPr>
      </w:pPr>
      <w:r w:rsidRPr="00E51BED">
        <w:rPr>
          <w:rFonts w:ascii="Arial Unicode MS" w:eastAsia="Arial Unicode MS" w:hAnsi="Arial Unicode MS" w:cs="Arial Unicode MS" w:hint="eastAsia"/>
          <w:szCs w:val="24"/>
        </w:rPr>
        <w:t>⒜</w:t>
      </w:r>
      <w:r w:rsidRPr="00E51BED">
        <w:rPr>
          <w:rFonts w:eastAsia="標楷體" w:hint="eastAsia"/>
          <w:szCs w:val="24"/>
        </w:rPr>
        <w:t>單獨指導或共同指導之學生均不列入計算，其餘皆列入計算。</w:t>
      </w:r>
    </w:p>
    <w:p w:rsidR="003927F1" w:rsidRPr="00E51BED" w:rsidRDefault="003927F1" w:rsidP="003927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320" w:lineRule="exact"/>
        <w:ind w:leftChars="96" w:left="230" w:firstLineChars="353" w:firstLine="847"/>
        <w:jc w:val="both"/>
        <w:textAlignment w:val="bottom"/>
        <w:rPr>
          <w:rFonts w:eastAsia="標楷體"/>
          <w:szCs w:val="24"/>
        </w:rPr>
      </w:pPr>
      <w:r w:rsidRPr="00E51BED">
        <w:rPr>
          <w:rFonts w:ascii="Arial Unicode MS" w:eastAsia="Arial Unicode MS" w:hAnsi="Arial Unicode MS" w:cs="Arial Unicode MS" w:hint="eastAsia"/>
          <w:szCs w:val="24"/>
        </w:rPr>
        <w:t>⒝</w:t>
      </w:r>
      <w:r w:rsidRPr="00E51BED">
        <w:rPr>
          <w:rFonts w:ascii="標楷體" w:eastAsia="標楷體" w:hAnsi="標楷體" w:cs="Arial Unicode MS" w:hint="eastAsia"/>
          <w:szCs w:val="24"/>
        </w:rPr>
        <w:t>非</w:t>
      </w:r>
      <w:r w:rsidRPr="00E51BED">
        <w:rPr>
          <w:rFonts w:eastAsia="標楷體" w:hint="eastAsia"/>
          <w:szCs w:val="24"/>
        </w:rPr>
        <w:t>單獨指導或共同指導之學生列入計算。</w:t>
      </w:r>
    </w:p>
    <w:p w:rsidR="003927F1" w:rsidRPr="00E51BED" w:rsidRDefault="003927F1" w:rsidP="003927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320" w:lineRule="exact"/>
        <w:ind w:leftChars="449" w:left="1078"/>
        <w:jc w:val="both"/>
        <w:textAlignment w:val="bottom"/>
        <w:rPr>
          <w:rFonts w:eastAsia="標楷體"/>
          <w:szCs w:val="24"/>
        </w:rPr>
      </w:pPr>
      <w:r w:rsidRPr="00E51BED">
        <w:rPr>
          <w:rFonts w:eastAsia="標楷體" w:hint="eastAsia"/>
          <w:szCs w:val="24"/>
        </w:rPr>
        <w:t>申請人排名屬第一順位者獲滿分、第二順位者減半計算、第三者再減半，依此類推。申請者須表列共同作者之身份。上述之分數悉由申請者自填，教評會審核定之。</w:t>
      </w:r>
    </w:p>
    <w:p w:rsidR="003927F1" w:rsidRPr="00E51BED" w:rsidRDefault="003927F1" w:rsidP="003927F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napToGrid w:val="0"/>
        <w:spacing w:line="320" w:lineRule="exact"/>
        <w:ind w:leftChars="355" w:left="1092" w:hangingChars="100" w:hanging="240"/>
        <w:jc w:val="both"/>
        <w:textAlignment w:val="bottom"/>
        <w:rPr>
          <w:rFonts w:eastAsia="標楷體"/>
          <w:szCs w:val="24"/>
        </w:rPr>
      </w:pPr>
      <w:r w:rsidRPr="00E51BED">
        <w:rPr>
          <w:rFonts w:ascii="Arial Unicode MS" w:eastAsia="Arial Unicode MS" w:hAnsi="Arial Unicode MS" w:cs="Arial Unicode MS" w:hint="eastAsia"/>
          <w:szCs w:val="24"/>
        </w:rPr>
        <w:t>⑹</w:t>
      </w:r>
      <w:r w:rsidRPr="00E51BED">
        <w:rPr>
          <w:rFonts w:eastAsia="標楷體" w:hint="eastAsia"/>
          <w:szCs w:val="24"/>
        </w:rPr>
        <w:t>上述論文作者不只一位第一作者或通訊作者時，申請者須提出說明貢獻度，同時其他第一作者或通訊作者亦提出貢獻度說明。</w:t>
      </w:r>
    </w:p>
    <w:p w:rsidR="003927F1" w:rsidRPr="00E51BED" w:rsidRDefault="003927F1" w:rsidP="003927F1">
      <w:pPr>
        <w:spacing w:line="360" w:lineRule="exact"/>
        <w:ind w:left="852" w:hangingChars="355" w:hanging="852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</w:t>
      </w:r>
      <w:r>
        <w:rPr>
          <w:rFonts w:ascii="標楷體" w:eastAsia="標楷體" w:hAnsi="標楷體" w:cs="Arial Unicode MS" w:hint="eastAsia"/>
          <w:szCs w:val="24"/>
        </w:rPr>
        <w:t>八</w:t>
      </w:r>
      <w:r w:rsidRPr="00E51BED">
        <w:rPr>
          <w:rFonts w:ascii="標楷體" w:eastAsia="標楷體" w:hAnsi="標楷體" w:cs="Arial Unicode MS" w:hint="eastAsia"/>
          <w:szCs w:val="24"/>
        </w:rPr>
        <w:t>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前六及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7"/>
          <w:attr w:name="UnitName" w:val="兩"/>
        </w:smartTagPr>
        <w:r w:rsidRPr="00E51BED">
          <w:rPr>
            <w:rFonts w:eastAsia="標楷體" w:hint="eastAsia"/>
            <w:szCs w:val="24"/>
          </w:rPr>
          <w:t>七兩</w:t>
        </w:r>
      </w:smartTag>
      <w:r w:rsidRPr="00E51BED">
        <w:rPr>
          <w:rFonts w:eastAsia="標楷體" w:hint="eastAsia"/>
          <w:szCs w:val="24"/>
        </w:rPr>
        <w:t>條所列論文分數之計算方式如下：申請升等教授者，於申請升等前副教授任內發表者全數計入，</w:t>
      </w:r>
      <w:r w:rsidRPr="00E51BED">
        <w:rPr>
          <w:rFonts w:eastAsia="標楷體" w:hint="eastAsia"/>
          <w:color w:val="000000"/>
          <w:szCs w:val="24"/>
        </w:rPr>
        <w:t>但助理教授任內所發表論文不計入</w:t>
      </w:r>
      <w:r w:rsidRPr="00E51BED">
        <w:rPr>
          <w:rFonts w:eastAsia="標楷體" w:hint="eastAsia"/>
          <w:szCs w:val="24"/>
        </w:rPr>
        <w:t>；申請升等副教授者，於申請升等前助理教授任內發表者全數計入，博士論文內容發表者不計入。</w:t>
      </w:r>
      <w:r w:rsidRPr="00E51BED">
        <w:rPr>
          <w:rFonts w:eastAsia="標楷體" w:hint="eastAsia"/>
          <w:color w:val="000000"/>
          <w:szCs w:val="24"/>
        </w:rPr>
        <w:t>申請升等</w:t>
      </w:r>
      <w:r w:rsidRPr="00E51BED">
        <w:rPr>
          <w:rFonts w:eastAsia="標楷體" w:hint="eastAsia"/>
          <w:szCs w:val="24"/>
        </w:rPr>
        <w:t>五年以前發表者及非屬現職內從事研究之成果所發表者減半計分，但最高不得超出</w:t>
      </w:r>
      <w:r w:rsidRPr="00E51BED">
        <w:rPr>
          <w:rFonts w:eastAsia="標楷體" w:hint="eastAsia"/>
          <w:szCs w:val="24"/>
        </w:rPr>
        <w:t>5</w:t>
      </w:r>
      <w:r w:rsidRPr="00E51BED">
        <w:rPr>
          <w:rFonts w:eastAsia="標楷體" w:hint="eastAsia"/>
          <w:szCs w:val="24"/>
        </w:rPr>
        <w:t>分。</w:t>
      </w:r>
      <w:r w:rsidRPr="00E51BED">
        <w:rPr>
          <w:rFonts w:eastAsia="標楷體" w:hint="eastAsia"/>
          <w:color w:val="000000"/>
          <w:szCs w:val="24"/>
        </w:rPr>
        <w:t>例如：</w:t>
      </w:r>
      <w:r w:rsidRPr="00E51BED">
        <w:rPr>
          <w:rFonts w:eastAsia="標楷體" w:hint="eastAsia"/>
          <w:color w:val="000000"/>
          <w:szCs w:val="24"/>
        </w:rPr>
        <w:t>2005.8.1</w:t>
      </w:r>
      <w:r w:rsidRPr="00E51BED">
        <w:rPr>
          <w:rFonts w:eastAsia="標楷體" w:hint="eastAsia"/>
          <w:color w:val="000000"/>
          <w:szCs w:val="24"/>
        </w:rPr>
        <w:t>申請升等，則論文計算期間為</w:t>
      </w:r>
      <w:r w:rsidRPr="00E51BED">
        <w:rPr>
          <w:rFonts w:eastAsia="標楷體" w:hint="eastAsia"/>
          <w:color w:val="000000"/>
          <w:szCs w:val="24"/>
        </w:rPr>
        <w:t>2000.8.1</w:t>
      </w:r>
      <w:r w:rsidRPr="00E51BED">
        <w:rPr>
          <w:rFonts w:eastAsia="標楷體" w:hint="eastAsia"/>
          <w:color w:val="000000"/>
          <w:szCs w:val="24"/>
        </w:rPr>
        <w:t>至</w:t>
      </w:r>
      <w:r w:rsidRPr="00E51BED">
        <w:rPr>
          <w:rFonts w:eastAsia="標楷體" w:hint="eastAsia"/>
          <w:color w:val="000000"/>
          <w:szCs w:val="24"/>
        </w:rPr>
        <w:t>2005.8.1</w:t>
      </w:r>
      <w:r w:rsidRPr="00E51BED">
        <w:rPr>
          <w:rFonts w:eastAsia="標楷體" w:hint="eastAsia"/>
          <w:color w:val="000000"/>
          <w:szCs w:val="24"/>
        </w:rPr>
        <w:t>，之前則減半。</w:t>
      </w:r>
    </w:p>
    <w:p w:rsidR="003927F1" w:rsidRPr="00E51BED" w:rsidRDefault="003927F1" w:rsidP="003927F1">
      <w:pPr>
        <w:pStyle w:val="a7"/>
        <w:spacing w:before="0" w:line="360" w:lineRule="exact"/>
        <w:ind w:left="854" w:hanging="854"/>
        <w:rPr>
          <w:sz w:val="24"/>
          <w:szCs w:val="24"/>
        </w:rPr>
      </w:pPr>
      <w:r w:rsidRPr="00E51BED">
        <w:rPr>
          <w:rFonts w:ascii="標楷體" w:hAnsi="標楷體" w:cs="Arial Unicode MS" w:hint="eastAsia"/>
          <w:sz w:val="24"/>
          <w:szCs w:val="24"/>
        </w:rPr>
        <w:t>第</w:t>
      </w:r>
      <w:r>
        <w:rPr>
          <w:rFonts w:ascii="標楷體" w:hAnsi="標楷體" w:cs="Arial Unicode MS" w:hint="eastAsia"/>
          <w:sz w:val="24"/>
          <w:szCs w:val="24"/>
        </w:rPr>
        <w:t>九</w:t>
      </w:r>
      <w:r w:rsidRPr="00E51BED">
        <w:rPr>
          <w:rFonts w:ascii="標楷體" w:hAnsi="標楷體" w:cs="Arial Unicode MS" w:hint="eastAsia"/>
          <w:sz w:val="24"/>
          <w:szCs w:val="24"/>
        </w:rPr>
        <w:t>條</w:t>
      </w:r>
      <w:r>
        <w:rPr>
          <w:rFonts w:ascii="標楷體" w:hAnsi="標楷體" w:cs="Arial Unicode MS" w:hint="eastAsia"/>
          <w:sz w:val="24"/>
          <w:szCs w:val="24"/>
        </w:rPr>
        <w:t xml:space="preserve"> </w:t>
      </w:r>
      <w:r w:rsidRPr="00E51BED">
        <w:rPr>
          <w:rFonts w:hint="eastAsia"/>
          <w:sz w:val="24"/>
          <w:szCs w:val="24"/>
        </w:rPr>
        <w:t>在服務成績方面，原則上由申請人自行提出其對研究經費之爭取、學術會議之主辦或協辦、對系務及工業界之貢獻等之書面說明，由教評會各委員評審結果平均之。本項佔總成績之</w:t>
      </w:r>
      <w:r w:rsidRPr="00E51BED">
        <w:rPr>
          <w:rFonts w:hint="eastAsia"/>
          <w:sz w:val="24"/>
          <w:szCs w:val="24"/>
        </w:rPr>
        <w:t>2</w:t>
      </w:r>
      <w:r w:rsidRPr="00E51BED">
        <w:rPr>
          <w:sz w:val="24"/>
          <w:szCs w:val="24"/>
        </w:rPr>
        <w:t>0</w:t>
      </w:r>
      <w:r w:rsidRPr="00E51BED">
        <w:rPr>
          <w:rFonts w:ascii="標楷體" w:hAnsi="標楷體" w:hint="eastAsia"/>
          <w:sz w:val="24"/>
          <w:szCs w:val="24"/>
        </w:rPr>
        <w:t>％</w:t>
      </w:r>
      <w:r w:rsidRPr="00E51BED">
        <w:rPr>
          <w:rFonts w:hint="eastAsia"/>
          <w:sz w:val="24"/>
          <w:szCs w:val="24"/>
        </w:rPr>
        <w:t>。</w:t>
      </w:r>
    </w:p>
    <w:p w:rsidR="003927F1" w:rsidRPr="00E51BED" w:rsidRDefault="003927F1" w:rsidP="003927F1">
      <w:pPr>
        <w:spacing w:line="360" w:lineRule="exact"/>
        <w:ind w:left="840" w:hangingChars="350" w:hanging="840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</w:t>
      </w:r>
      <w:r>
        <w:rPr>
          <w:rFonts w:ascii="標楷體" w:eastAsia="標楷體" w:hAnsi="標楷體" w:cs="Arial Unicode MS" w:hint="eastAsia"/>
          <w:szCs w:val="24"/>
        </w:rPr>
        <w:t>十</w:t>
      </w:r>
      <w:r w:rsidRPr="00E51BED">
        <w:rPr>
          <w:rFonts w:ascii="標楷體" w:eastAsia="標楷體" w:hAnsi="標楷體" w:cs="Arial Unicode MS" w:hint="eastAsia"/>
          <w:szCs w:val="24"/>
        </w:rPr>
        <w:t>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升等申請需獲得出席委員人數三分之二以上（含）同意始得推薦。獲推薦之人數每年最多為本系同級教師總人數之五分之一，或達升等年資總人數之三分之一。</w:t>
      </w:r>
    </w:p>
    <w:p w:rsidR="003927F1" w:rsidRPr="00E51BED" w:rsidRDefault="003927F1" w:rsidP="003927F1">
      <w:pPr>
        <w:spacing w:line="360" w:lineRule="exact"/>
        <w:ind w:leftChars="1" w:left="1077" w:hangingChars="448" w:hanging="1075"/>
        <w:jc w:val="both"/>
        <w:rPr>
          <w:rFonts w:eastAsia="標楷體"/>
          <w:szCs w:val="24"/>
        </w:rPr>
      </w:pPr>
      <w:r w:rsidRPr="00E51BED">
        <w:rPr>
          <w:rFonts w:ascii="標楷體" w:eastAsia="標楷體" w:hAnsi="標楷體" w:cs="Arial Unicode MS" w:hint="eastAsia"/>
          <w:szCs w:val="24"/>
        </w:rPr>
        <w:t>第</w:t>
      </w:r>
      <w:r>
        <w:rPr>
          <w:rFonts w:ascii="標楷體" w:eastAsia="標楷體" w:hAnsi="標楷體" w:cs="Arial Unicode MS" w:hint="eastAsia"/>
          <w:szCs w:val="24"/>
        </w:rPr>
        <w:t>十</w:t>
      </w:r>
      <w:r w:rsidRPr="00E51BED">
        <w:rPr>
          <w:rFonts w:ascii="標楷體" w:eastAsia="標楷體" w:hAnsi="標楷體" w:cs="Arial Unicode MS" w:hint="eastAsia"/>
          <w:szCs w:val="24"/>
        </w:rPr>
        <w:t>一條</w:t>
      </w:r>
      <w:r>
        <w:rPr>
          <w:rFonts w:ascii="標楷體" w:eastAsia="標楷體" w:hAnsi="標楷體" w:cs="Arial Unicode MS" w:hint="eastAsia"/>
          <w:szCs w:val="24"/>
        </w:rPr>
        <w:t xml:space="preserve"> </w:t>
      </w:r>
      <w:r w:rsidRPr="00E51BED">
        <w:rPr>
          <w:rFonts w:eastAsia="標楷體" w:hint="eastAsia"/>
          <w:szCs w:val="24"/>
        </w:rPr>
        <w:t>獲教評會通過推薦之申請人，按分數高低之順序及本校教師升等辦法之規定，以本系名義向工學院推薦。</w:t>
      </w:r>
    </w:p>
    <w:p w:rsidR="003927F1" w:rsidRDefault="003927F1" w:rsidP="003927F1">
      <w:pPr>
        <w:pStyle w:val="a7"/>
        <w:spacing w:before="0" w:line="360" w:lineRule="exact"/>
        <w:ind w:left="1078" w:hangingChars="449" w:hanging="1078"/>
        <w:rPr>
          <w:rFonts w:ascii="標楷體" w:hAnsi="標楷體"/>
          <w:sz w:val="24"/>
          <w:szCs w:val="24"/>
        </w:rPr>
        <w:sectPr w:rsidR="003927F1" w:rsidSect="00397028">
          <w:pgSz w:w="11906" w:h="16838" w:code="9"/>
          <w:pgMar w:top="851" w:right="851" w:bottom="851" w:left="851" w:header="851" w:footer="992" w:gutter="0"/>
          <w:cols w:space="425"/>
          <w:docGrid w:linePitch="360"/>
        </w:sectPr>
      </w:pPr>
      <w:r w:rsidRPr="00E51BED">
        <w:rPr>
          <w:rFonts w:ascii="標楷體" w:hAnsi="標楷體" w:cs="Arial Unicode MS" w:hint="eastAsia"/>
          <w:sz w:val="24"/>
          <w:szCs w:val="24"/>
        </w:rPr>
        <w:t>第</w:t>
      </w:r>
      <w:r>
        <w:rPr>
          <w:rFonts w:ascii="標楷體" w:hAnsi="標楷體" w:cs="Arial Unicode MS" w:hint="eastAsia"/>
          <w:sz w:val="24"/>
          <w:szCs w:val="24"/>
        </w:rPr>
        <w:t>十二</w:t>
      </w:r>
      <w:r w:rsidRPr="00E51BED">
        <w:rPr>
          <w:rFonts w:ascii="標楷體" w:hAnsi="標楷體" w:cs="Arial Unicode MS" w:hint="eastAsia"/>
          <w:sz w:val="24"/>
          <w:szCs w:val="24"/>
        </w:rPr>
        <w:t>條</w:t>
      </w:r>
      <w:r>
        <w:rPr>
          <w:rFonts w:ascii="標楷體" w:hAnsi="標楷體" w:cs="Arial Unicode MS" w:hint="eastAsia"/>
          <w:sz w:val="24"/>
          <w:szCs w:val="24"/>
        </w:rPr>
        <w:t xml:space="preserve"> </w:t>
      </w:r>
      <w:r w:rsidRPr="00E51BED">
        <w:rPr>
          <w:rFonts w:ascii="標楷體" w:hAnsi="標楷體" w:hint="eastAsia"/>
          <w:sz w:val="24"/>
          <w:szCs w:val="24"/>
        </w:rPr>
        <w:t>本辦法經系務會議通過後經院長提校教師評審委員會通過後，新聘教師升等審核適用之，修正時亦同。</w:t>
      </w:r>
    </w:p>
    <w:p w:rsidR="00E575FE" w:rsidRPr="003927F1" w:rsidRDefault="00E575FE" w:rsidP="003927F1"/>
    <w:sectPr w:rsidR="00E575FE" w:rsidRPr="003927F1" w:rsidSect="003927F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5E5" w:rsidRDefault="003555E5">
      <w:r>
        <w:separator/>
      </w:r>
    </w:p>
  </w:endnote>
  <w:endnote w:type="continuationSeparator" w:id="0">
    <w:p w:rsidR="003555E5" w:rsidRDefault="0035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5E5" w:rsidRDefault="003555E5">
      <w:r>
        <w:separator/>
      </w:r>
    </w:p>
  </w:footnote>
  <w:footnote w:type="continuationSeparator" w:id="0">
    <w:p w:rsidR="003555E5" w:rsidRDefault="0035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24"/>
    <w:rsid w:val="003555E5"/>
    <w:rsid w:val="003927F1"/>
    <w:rsid w:val="006C771B"/>
    <w:rsid w:val="00B67950"/>
    <w:rsid w:val="00CB6324"/>
    <w:rsid w:val="00E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BF7343-8A2D-4154-A372-5333C4B3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32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CB63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CB63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Plain Text"/>
    <w:basedOn w:val="a"/>
    <w:link w:val="a6"/>
    <w:rsid w:val="00CB6324"/>
    <w:rPr>
      <w:rFonts w:ascii="細明體" w:eastAsia="細明體" w:hAnsi="Courier New"/>
    </w:rPr>
  </w:style>
  <w:style w:type="character" w:customStyle="1" w:styleId="a6">
    <w:name w:val="純文字 字元"/>
    <w:basedOn w:val="a0"/>
    <w:link w:val="a5"/>
    <w:rsid w:val="00CB6324"/>
    <w:rPr>
      <w:rFonts w:ascii="細明體" w:eastAsia="細明體" w:hAnsi="Courier New" w:cs="Times New Roman"/>
      <w:szCs w:val="20"/>
    </w:rPr>
  </w:style>
  <w:style w:type="paragraph" w:customStyle="1" w:styleId="a7">
    <w:name w:val="一、"/>
    <w:basedOn w:val="a5"/>
    <w:rsid w:val="00CB6324"/>
    <w:pPr>
      <w:snapToGrid w:val="0"/>
      <w:spacing w:before="120"/>
      <w:ind w:left="567" w:hanging="567"/>
      <w:jc w:val="both"/>
    </w:pPr>
    <w:rPr>
      <w:rFonts w:ascii="Times New Roman" w:eastAsia="標楷體" w:hAnsi="Times New Roman"/>
      <w:sz w:val="28"/>
    </w:rPr>
  </w:style>
  <w:style w:type="paragraph" w:styleId="a8">
    <w:name w:val="header"/>
    <w:basedOn w:val="a"/>
    <w:link w:val="a9"/>
    <w:uiPriority w:val="99"/>
    <w:unhideWhenUsed/>
    <w:rsid w:val="003927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3927F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3</cp:revision>
  <dcterms:created xsi:type="dcterms:W3CDTF">2014-07-10T09:03:00Z</dcterms:created>
  <dcterms:modified xsi:type="dcterms:W3CDTF">2014-07-11T01:49:00Z</dcterms:modified>
</cp:coreProperties>
</file>